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18C7" w14:textId="77777777" w:rsidR="00C21EE1" w:rsidRDefault="00C21EE1">
      <w:pPr>
        <w:pStyle w:val="Title"/>
        <w:jc w:val="both"/>
      </w:pPr>
      <w:r>
        <w:t xml:space="preserve"> </w:t>
      </w:r>
      <w:r>
        <w:tab/>
      </w:r>
      <w:r>
        <w:tab/>
      </w:r>
      <w:r>
        <w:tab/>
      </w:r>
      <w:r>
        <w:tab/>
      </w:r>
    </w:p>
    <w:p w14:paraId="667245DC" w14:textId="77777777" w:rsidR="00C21EE1" w:rsidRDefault="00C21EE1" w:rsidP="00D55252">
      <w:pPr>
        <w:pStyle w:val="Title"/>
        <w:jc w:val="both"/>
      </w:pPr>
    </w:p>
    <w:p w14:paraId="48EEF245" w14:textId="77777777" w:rsidR="00C21EE1" w:rsidRDefault="00C21EE1" w:rsidP="00D55252">
      <w:pPr>
        <w:pStyle w:val="Title"/>
        <w:jc w:val="both"/>
      </w:pPr>
    </w:p>
    <w:p w14:paraId="11D129BF" w14:textId="77777777" w:rsidR="00213348" w:rsidRDefault="00213348" w:rsidP="00213348">
      <w:pPr>
        <w:pStyle w:val="Title"/>
        <w:rPr>
          <w:rFonts w:asciiTheme="minorHAnsi" w:hAnsiTheme="minorHAnsi" w:cstheme="minorHAnsi"/>
          <w:sz w:val="44"/>
          <w:szCs w:val="44"/>
          <w:lang w:val="en-GB"/>
        </w:rPr>
      </w:pPr>
    </w:p>
    <w:p w14:paraId="203B2E59" w14:textId="77777777" w:rsidR="00213348" w:rsidRDefault="00213348" w:rsidP="00213348">
      <w:pPr>
        <w:pStyle w:val="Title"/>
        <w:rPr>
          <w:rFonts w:asciiTheme="minorHAnsi" w:hAnsiTheme="minorHAnsi" w:cstheme="minorHAnsi"/>
          <w:sz w:val="44"/>
          <w:szCs w:val="44"/>
          <w:lang w:val="en-GB"/>
        </w:rPr>
      </w:pPr>
    </w:p>
    <w:p w14:paraId="196DDB62" w14:textId="77777777" w:rsidR="00C21EE1" w:rsidRDefault="00C21EE1" w:rsidP="00D55252">
      <w:pPr>
        <w:pStyle w:val="Title"/>
        <w:jc w:val="both"/>
      </w:pPr>
    </w:p>
    <w:p w14:paraId="26860A48" w14:textId="77777777" w:rsidR="00C21EE1" w:rsidRDefault="00C21EE1" w:rsidP="00213348">
      <w:pPr>
        <w:pStyle w:val="Title"/>
        <w:tabs>
          <w:tab w:val="left" w:pos="5940"/>
        </w:tabs>
      </w:pPr>
    </w:p>
    <w:p w14:paraId="7F453129" w14:textId="77777777" w:rsidR="00213348" w:rsidRPr="00213348" w:rsidRDefault="00213348" w:rsidP="00213348">
      <w:pPr>
        <w:pStyle w:val="Title"/>
        <w:rPr>
          <w:rFonts w:asciiTheme="minorHAnsi" w:hAnsiTheme="minorHAnsi" w:cstheme="minorHAnsi"/>
          <w:sz w:val="56"/>
          <w:szCs w:val="56"/>
          <w:lang w:val="en-GB"/>
        </w:rPr>
      </w:pPr>
      <w:r w:rsidRPr="00213348">
        <w:rPr>
          <w:rFonts w:asciiTheme="minorHAnsi" w:hAnsiTheme="minorHAnsi" w:cstheme="minorHAnsi"/>
          <w:sz w:val="56"/>
          <w:szCs w:val="56"/>
          <w:lang w:val="en-GB"/>
        </w:rPr>
        <w:t xml:space="preserve">WHONET Manual </w:t>
      </w:r>
    </w:p>
    <w:p w14:paraId="1C7BFD43" w14:textId="77777777" w:rsidR="00C21EE1" w:rsidRDefault="00C21EE1" w:rsidP="00D55252">
      <w:pPr>
        <w:pStyle w:val="Title"/>
        <w:jc w:val="both"/>
      </w:pPr>
    </w:p>
    <w:p w14:paraId="5BAFC77C" w14:textId="6DD681BA" w:rsidR="008B008D" w:rsidRPr="00213348" w:rsidRDefault="008B008D" w:rsidP="00D55252">
      <w:pPr>
        <w:pStyle w:val="Title"/>
        <w:rPr>
          <w:rFonts w:asciiTheme="minorHAnsi" w:hAnsiTheme="minorHAnsi" w:cstheme="minorHAnsi"/>
          <w:sz w:val="44"/>
          <w:szCs w:val="44"/>
          <w:lang w:val="en-GB"/>
        </w:rPr>
      </w:pPr>
      <w:r w:rsidRPr="00213348">
        <w:rPr>
          <w:rFonts w:asciiTheme="minorHAnsi" w:hAnsiTheme="minorHAnsi" w:cstheme="minorHAnsi"/>
          <w:sz w:val="44"/>
          <w:szCs w:val="44"/>
          <w:lang w:val="en-GB"/>
        </w:rPr>
        <w:t>GLOBAL ANTIMICROBIAL RESISTANCE SURVEILLANCE SYSTEM</w:t>
      </w:r>
      <w:r w:rsidR="00053F24">
        <w:rPr>
          <w:rFonts w:asciiTheme="minorHAnsi" w:hAnsiTheme="minorHAnsi" w:cstheme="minorHAnsi"/>
          <w:sz w:val="44"/>
          <w:szCs w:val="44"/>
          <w:lang w:val="en-GB"/>
        </w:rPr>
        <w:t xml:space="preserve"> </w:t>
      </w:r>
      <w:r w:rsidR="00C95CCA">
        <w:rPr>
          <w:rFonts w:asciiTheme="minorHAnsi" w:hAnsiTheme="minorHAnsi" w:cstheme="minorHAnsi"/>
          <w:sz w:val="44"/>
          <w:szCs w:val="44"/>
          <w:lang w:val="en-GB"/>
        </w:rPr>
        <w:t>– EGASP</w:t>
      </w:r>
    </w:p>
    <w:p w14:paraId="0184B937" w14:textId="77777777" w:rsidR="008B008D" w:rsidRDefault="008B008D" w:rsidP="00D55252">
      <w:pPr>
        <w:pStyle w:val="Title"/>
        <w:rPr>
          <w:lang w:val="en-GB"/>
        </w:rPr>
      </w:pPr>
    </w:p>
    <w:p w14:paraId="5BC22C4D" w14:textId="77777777" w:rsidR="00D55252" w:rsidRDefault="00D55252" w:rsidP="00D55252">
      <w:pPr>
        <w:pStyle w:val="Title"/>
        <w:rPr>
          <w:lang w:val="en-GB"/>
        </w:rPr>
      </w:pPr>
    </w:p>
    <w:p w14:paraId="432A5E17" w14:textId="77777777" w:rsidR="00D55252" w:rsidRDefault="00D55252" w:rsidP="00D55252">
      <w:pPr>
        <w:pStyle w:val="Title"/>
        <w:rPr>
          <w:lang w:val="en-GB"/>
        </w:rPr>
      </w:pPr>
    </w:p>
    <w:p w14:paraId="4B686EAC" w14:textId="77777777" w:rsidR="00C21EE1" w:rsidRPr="001132C1" w:rsidRDefault="00C21EE1" w:rsidP="00D55252">
      <w:pPr>
        <w:pStyle w:val="Title"/>
        <w:rPr>
          <w:lang w:val="en-GB"/>
        </w:rPr>
      </w:pPr>
    </w:p>
    <w:p w14:paraId="006A9FEB" w14:textId="77777777" w:rsidR="00C21EE1" w:rsidRPr="001132C1" w:rsidRDefault="00C21EE1" w:rsidP="00D55252">
      <w:pPr>
        <w:jc w:val="both"/>
        <w:rPr>
          <w:rFonts w:ascii="Arial" w:hAnsi="Arial"/>
          <w:b/>
          <w:sz w:val="22"/>
          <w:lang w:val="en-GB"/>
        </w:rPr>
      </w:pPr>
    </w:p>
    <w:p w14:paraId="1585AF46" w14:textId="77777777" w:rsidR="00C21EE1" w:rsidRPr="001132C1" w:rsidRDefault="00C21EE1" w:rsidP="00D55252">
      <w:pPr>
        <w:jc w:val="both"/>
        <w:rPr>
          <w:rFonts w:ascii="Arial" w:hAnsi="Arial"/>
          <w:b/>
          <w:sz w:val="22"/>
          <w:lang w:val="en-GB"/>
        </w:rPr>
      </w:pPr>
    </w:p>
    <w:p w14:paraId="44A1CD0C" w14:textId="77777777" w:rsidR="00C21EE1" w:rsidRPr="001132C1" w:rsidRDefault="00C21EE1" w:rsidP="00D55252">
      <w:pPr>
        <w:jc w:val="both"/>
        <w:rPr>
          <w:rFonts w:ascii="Arial" w:hAnsi="Arial"/>
          <w:b/>
          <w:sz w:val="22"/>
          <w:lang w:val="en-GB"/>
        </w:rPr>
      </w:pPr>
    </w:p>
    <w:p w14:paraId="0E4428AE" w14:textId="77777777" w:rsidR="00C21EE1" w:rsidRPr="001132C1" w:rsidRDefault="00C21EE1" w:rsidP="00D55252">
      <w:pPr>
        <w:jc w:val="both"/>
        <w:rPr>
          <w:rFonts w:ascii="Arial" w:hAnsi="Arial"/>
          <w:b/>
          <w:sz w:val="22"/>
          <w:lang w:val="en-GB"/>
        </w:rPr>
      </w:pPr>
    </w:p>
    <w:p w14:paraId="67D958CD" w14:textId="77777777" w:rsidR="00C21EE1" w:rsidRPr="001132C1" w:rsidRDefault="00C21EE1">
      <w:pPr>
        <w:jc w:val="both"/>
        <w:rPr>
          <w:rFonts w:ascii="Arial" w:hAnsi="Arial"/>
          <w:b/>
          <w:sz w:val="22"/>
          <w:lang w:val="en-GB"/>
        </w:rPr>
      </w:pPr>
    </w:p>
    <w:p w14:paraId="18309627" w14:textId="77777777" w:rsidR="00C21EE1" w:rsidRPr="001132C1" w:rsidRDefault="00C21EE1">
      <w:pPr>
        <w:jc w:val="both"/>
        <w:rPr>
          <w:rFonts w:ascii="Arial" w:hAnsi="Arial"/>
          <w:b/>
          <w:sz w:val="22"/>
          <w:lang w:val="en-GB"/>
        </w:rPr>
      </w:pPr>
    </w:p>
    <w:p w14:paraId="1AFD1C4E" w14:textId="77777777" w:rsidR="00C21EE1" w:rsidRDefault="00C21EE1">
      <w:pPr>
        <w:jc w:val="both"/>
        <w:rPr>
          <w:rFonts w:ascii="Arial" w:hAnsi="Arial"/>
          <w:b/>
          <w:sz w:val="22"/>
          <w:lang w:val="en-GB"/>
        </w:rPr>
      </w:pPr>
    </w:p>
    <w:p w14:paraId="7B339068" w14:textId="77777777" w:rsidR="006A6E01" w:rsidRDefault="006A6E01">
      <w:pPr>
        <w:jc w:val="both"/>
        <w:rPr>
          <w:rFonts w:ascii="Arial" w:hAnsi="Arial"/>
          <w:b/>
          <w:sz w:val="22"/>
          <w:lang w:val="en-GB"/>
        </w:rPr>
      </w:pPr>
    </w:p>
    <w:p w14:paraId="0437EF34" w14:textId="77777777" w:rsidR="006A6E01" w:rsidRDefault="006A6E01">
      <w:pPr>
        <w:jc w:val="both"/>
        <w:rPr>
          <w:rFonts w:ascii="Arial" w:hAnsi="Arial"/>
          <w:b/>
          <w:sz w:val="22"/>
          <w:lang w:val="en-GB"/>
        </w:rPr>
      </w:pPr>
    </w:p>
    <w:p w14:paraId="70E05675" w14:textId="77777777" w:rsidR="006A6E01" w:rsidRPr="001132C1" w:rsidRDefault="006A6E01">
      <w:pPr>
        <w:jc w:val="both"/>
        <w:rPr>
          <w:rFonts w:ascii="Arial" w:hAnsi="Arial"/>
          <w:b/>
          <w:sz w:val="22"/>
          <w:lang w:val="en-GB"/>
        </w:rPr>
      </w:pPr>
    </w:p>
    <w:p w14:paraId="6961CC06" w14:textId="77777777" w:rsidR="00C21EE1" w:rsidRPr="001132C1" w:rsidRDefault="00C21EE1">
      <w:pPr>
        <w:jc w:val="both"/>
        <w:rPr>
          <w:rFonts w:ascii="Arial" w:hAnsi="Arial"/>
          <w:b/>
          <w:sz w:val="22"/>
          <w:lang w:val="en-GB"/>
        </w:rPr>
      </w:pPr>
    </w:p>
    <w:p w14:paraId="67DCF664" w14:textId="77777777" w:rsidR="00C21EE1" w:rsidRPr="001132C1" w:rsidRDefault="00C21EE1">
      <w:pPr>
        <w:jc w:val="both"/>
        <w:rPr>
          <w:rFonts w:ascii="Arial" w:hAnsi="Arial"/>
          <w:b/>
          <w:sz w:val="22"/>
          <w:lang w:val="en-GB"/>
        </w:rPr>
      </w:pPr>
    </w:p>
    <w:p w14:paraId="22E54FF8" w14:textId="77777777" w:rsidR="00C21EE1" w:rsidRDefault="00C21EE1">
      <w:pPr>
        <w:jc w:val="both"/>
        <w:rPr>
          <w:rFonts w:ascii="Arial" w:hAnsi="Arial"/>
          <w:b/>
          <w:sz w:val="22"/>
          <w:lang w:val="en-GB"/>
        </w:rPr>
      </w:pPr>
    </w:p>
    <w:p w14:paraId="52399750" w14:textId="77777777" w:rsidR="003945B4" w:rsidRDefault="003945B4">
      <w:pPr>
        <w:jc w:val="both"/>
        <w:rPr>
          <w:rFonts w:ascii="Arial" w:hAnsi="Arial"/>
          <w:b/>
          <w:sz w:val="22"/>
          <w:lang w:val="en-GB"/>
        </w:rPr>
      </w:pPr>
    </w:p>
    <w:p w14:paraId="066EB713" w14:textId="77777777" w:rsidR="003945B4" w:rsidRDefault="003945B4">
      <w:pPr>
        <w:jc w:val="both"/>
        <w:rPr>
          <w:rFonts w:ascii="Arial" w:hAnsi="Arial"/>
          <w:b/>
          <w:sz w:val="22"/>
          <w:lang w:val="en-GB"/>
        </w:rPr>
      </w:pPr>
    </w:p>
    <w:p w14:paraId="607213AA" w14:textId="77777777" w:rsidR="003945B4" w:rsidRPr="001132C1" w:rsidRDefault="003945B4">
      <w:pPr>
        <w:jc w:val="both"/>
        <w:rPr>
          <w:rFonts w:ascii="Arial" w:hAnsi="Arial"/>
          <w:b/>
          <w:sz w:val="22"/>
          <w:lang w:val="en-GB"/>
        </w:rPr>
      </w:pPr>
    </w:p>
    <w:p w14:paraId="136950B4" w14:textId="77777777" w:rsidR="00C21EE1" w:rsidRPr="006A6E01" w:rsidRDefault="005451F6" w:rsidP="006A6E01">
      <w:pPr>
        <w:spacing w:line="276" w:lineRule="auto"/>
        <w:ind w:left="3600" w:firstLine="720"/>
        <w:rPr>
          <w:rFonts w:asciiTheme="minorHAnsi" w:hAnsiTheme="minorHAnsi" w:cstheme="minorHAnsi"/>
          <w:sz w:val="24"/>
          <w:lang w:val="en-GB"/>
        </w:rPr>
      </w:pPr>
      <w:r w:rsidRPr="006A6E01">
        <w:rPr>
          <w:rFonts w:asciiTheme="minorHAnsi" w:hAnsiTheme="minorHAnsi" w:cstheme="minorHAnsi"/>
          <w:sz w:val="24"/>
          <w:lang w:val="en-GB"/>
        </w:rPr>
        <w:t>John Stelling</w:t>
      </w:r>
    </w:p>
    <w:p w14:paraId="4A49CB1A" w14:textId="77777777" w:rsidR="005451F6" w:rsidRPr="006A6E01" w:rsidRDefault="005451F6" w:rsidP="006A6E01">
      <w:pPr>
        <w:spacing w:line="276" w:lineRule="auto"/>
        <w:ind w:left="3600" w:firstLine="720"/>
        <w:rPr>
          <w:rFonts w:asciiTheme="minorHAnsi" w:hAnsiTheme="minorHAnsi" w:cstheme="minorHAnsi"/>
          <w:sz w:val="24"/>
          <w:lang w:val="en-GB"/>
        </w:rPr>
      </w:pPr>
      <w:r w:rsidRPr="006A6E01">
        <w:rPr>
          <w:rFonts w:asciiTheme="minorHAnsi" w:hAnsiTheme="minorHAnsi" w:cstheme="minorHAnsi"/>
          <w:sz w:val="24"/>
          <w:lang w:val="en-GB"/>
        </w:rPr>
        <w:t>Brigham and Women’s Hospital</w:t>
      </w:r>
    </w:p>
    <w:p w14:paraId="0C0189C0" w14:textId="77777777" w:rsidR="008E5C87" w:rsidRPr="006A6E01" w:rsidRDefault="005451F6" w:rsidP="006A6E01">
      <w:pPr>
        <w:spacing w:line="276" w:lineRule="auto"/>
        <w:ind w:left="5040" w:hanging="720"/>
        <w:rPr>
          <w:rFonts w:asciiTheme="minorHAnsi" w:hAnsiTheme="minorHAnsi" w:cstheme="minorHAnsi"/>
          <w:sz w:val="24"/>
          <w:lang w:val="en-GB"/>
        </w:rPr>
      </w:pPr>
      <w:r w:rsidRPr="006A6E01">
        <w:rPr>
          <w:rFonts w:asciiTheme="minorHAnsi" w:hAnsiTheme="minorHAnsi" w:cstheme="minorHAnsi"/>
          <w:sz w:val="24"/>
          <w:lang w:val="en-GB"/>
        </w:rPr>
        <w:t xml:space="preserve">WHO Collaborating Centre for Surveillance </w:t>
      </w:r>
    </w:p>
    <w:p w14:paraId="320E5468" w14:textId="77777777" w:rsidR="005451F6" w:rsidRPr="006A6E01" w:rsidRDefault="005451F6" w:rsidP="006A6E01">
      <w:pPr>
        <w:spacing w:line="276" w:lineRule="auto"/>
        <w:ind w:left="5040" w:hanging="720"/>
        <w:rPr>
          <w:rFonts w:asciiTheme="minorHAnsi" w:hAnsiTheme="minorHAnsi" w:cstheme="minorHAnsi"/>
          <w:sz w:val="24"/>
          <w:lang w:val="en-GB"/>
        </w:rPr>
      </w:pPr>
      <w:r w:rsidRPr="006A6E01">
        <w:rPr>
          <w:rFonts w:asciiTheme="minorHAnsi" w:hAnsiTheme="minorHAnsi" w:cstheme="minorHAnsi"/>
          <w:sz w:val="24"/>
          <w:lang w:val="en-GB"/>
        </w:rPr>
        <w:t>of Antimicrobial Resistance</w:t>
      </w:r>
    </w:p>
    <w:p w14:paraId="6AC8E276" w14:textId="77777777" w:rsidR="005451F6" w:rsidRPr="006A6E01" w:rsidRDefault="005451F6" w:rsidP="006A6E01">
      <w:pPr>
        <w:spacing w:line="276" w:lineRule="auto"/>
        <w:ind w:left="3600" w:firstLine="720"/>
        <w:rPr>
          <w:rFonts w:asciiTheme="minorHAnsi" w:hAnsiTheme="minorHAnsi" w:cstheme="minorHAnsi"/>
          <w:sz w:val="24"/>
          <w:lang w:val="en-GB"/>
        </w:rPr>
      </w:pPr>
      <w:r w:rsidRPr="006A6E01">
        <w:rPr>
          <w:rFonts w:asciiTheme="minorHAnsi" w:hAnsiTheme="minorHAnsi" w:cstheme="minorHAnsi"/>
          <w:sz w:val="24"/>
          <w:lang w:val="en-GB"/>
        </w:rPr>
        <w:t>Boston, Massachusetts</w:t>
      </w:r>
    </w:p>
    <w:p w14:paraId="37A4AA0D" w14:textId="41E9EBBA" w:rsidR="00C21EE1" w:rsidRPr="006A6E01" w:rsidRDefault="002E6193" w:rsidP="006A6E01">
      <w:pPr>
        <w:spacing w:line="276" w:lineRule="auto"/>
        <w:ind w:left="3600" w:firstLine="720"/>
        <w:rPr>
          <w:rFonts w:asciiTheme="minorHAnsi" w:hAnsiTheme="minorHAnsi" w:cstheme="minorHAnsi"/>
          <w:b/>
          <w:sz w:val="24"/>
          <w:lang w:val="en-GB"/>
        </w:rPr>
      </w:pPr>
      <w:r>
        <w:rPr>
          <w:rFonts w:asciiTheme="minorHAnsi" w:hAnsiTheme="minorHAnsi" w:cstheme="minorHAnsi"/>
          <w:sz w:val="24"/>
          <w:lang w:val="en-GB"/>
        </w:rPr>
        <w:t>July 2024</w:t>
      </w:r>
    </w:p>
    <w:p w14:paraId="431C7ED4" w14:textId="77777777" w:rsidR="00C21EE1" w:rsidRPr="001132C1" w:rsidRDefault="00C21EE1">
      <w:pPr>
        <w:rPr>
          <w:rFonts w:ascii="Arial" w:hAnsi="Arial"/>
          <w:b/>
          <w:sz w:val="24"/>
          <w:lang w:val="en-GB"/>
        </w:rPr>
      </w:pPr>
    </w:p>
    <w:p w14:paraId="373A5725" w14:textId="77777777" w:rsidR="00C21EE1" w:rsidRPr="001132C1" w:rsidRDefault="00C21EE1">
      <w:pPr>
        <w:rPr>
          <w:rFonts w:ascii="Arial" w:hAnsi="Arial"/>
          <w:b/>
          <w:sz w:val="24"/>
          <w:lang w:val="en-GB"/>
        </w:rPr>
      </w:pPr>
    </w:p>
    <w:p w14:paraId="542DEEE5" w14:textId="77777777" w:rsidR="00C21EE1" w:rsidRPr="001132C1" w:rsidRDefault="00C21EE1">
      <w:pPr>
        <w:rPr>
          <w:rFonts w:ascii="Arial" w:hAnsi="Arial"/>
          <w:b/>
          <w:sz w:val="24"/>
          <w:lang w:val="en-GB"/>
        </w:rPr>
      </w:pPr>
    </w:p>
    <w:p w14:paraId="0132B9D6" w14:textId="77777777" w:rsidR="00C21EE1" w:rsidRPr="001132C1" w:rsidRDefault="00C21EE1">
      <w:pPr>
        <w:rPr>
          <w:rFonts w:ascii="Arial" w:hAnsi="Arial"/>
          <w:b/>
          <w:sz w:val="24"/>
          <w:lang w:val="en-GB"/>
        </w:rPr>
      </w:pPr>
    </w:p>
    <w:p w14:paraId="120FF6C6" w14:textId="77777777" w:rsidR="00C21EE1" w:rsidRDefault="00C21EE1">
      <w:pPr>
        <w:ind w:right="-426"/>
        <w:jc w:val="center"/>
        <w:rPr>
          <w:b/>
          <w:lang w:val="en-GB"/>
        </w:rPr>
      </w:pPr>
    </w:p>
    <w:p w14:paraId="097ACDF8" w14:textId="77777777" w:rsidR="00053F24" w:rsidRDefault="00053F24" w:rsidP="00814E53">
      <w:pPr>
        <w:pStyle w:val="TOC1"/>
        <w:rPr>
          <w:b/>
          <w:sz w:val="36"/>
          <w:szCs w:val="36"/>
        </w:rPr>
      </w:pPr>
      <w:r>
        <w:rPr>
          <w:b/>
          <w:sz w:val="36"/>
          <w:szCs w:val="36"/>
        </w:rPr>
        <w:lastRenderedPageBreak/>
        <w:t>Abbreviations</w:t>
      </w:r>
    </w:p>
    <w:p w14:paraId="473C5F60" w14:textId="77777777" w:rsidR="006D760F" w:rsidRPr="006D760F" w:rsidRDefault="006D760F" w:rsidP="006D760F">
      <w:pPr>
        <w:pStyle w:val="TOC1"/>
        <w:tabs>
          <w:tab w:val="clear" w:pos="600"/>
          <w:tab w:val="left" w:pos="1701"/>
        </w:tabs>
        <w:rPr>
          <w:sz w:val="24"/>
          <w:szCs w:val="24"/>
        </w:rPr>
      </w:pPr>
      <w:r w:rsidRPr="006D760F">
        <w:rPr>
          <w:sz w:val="24"/>
          <w:szCs w:val="24"/>
        </w:rPr>
        <w:t>AMR</w:t>
      </w:r>
      <w:r w:rsidRPr="006D760F">
        <w:rPr>
          <w:sz w:val="24"/>
          <w:szCs w:val="24"/>
        </w:rPr>
        <w:tab/>
        <w:t>Antim</w:t>
      </w:r>
      <w:r w:rsidR="00C23E1D">
        <w:rPr>
          <w:sz w:val="24"/>
          <w:szCs w:val="24"/>
        </w:rPr>
        <w:t>i</w:t>
      </w:r>
      <w:r w:rsidRPr="006D760F">
        <w:rPr>
          <w:sz w:val="24"/>
          <w:szCs w:val="24"/>
        </w:rPr>
        <w:t>crobial Resistance</w:t>
      </w:r>
    </w:p>
    <w:p w14:paraId="7223B183" w14:textId="77777777" w:rsidR="00C23E1D" w:rsidRDefault="00C23E1D" w:rsidP="00C23E1D">
      <w:pPr>
        <w:tabs>
          <w:tab w:val="left" w:pos="1701"/>
        </w:tabs>
        <w:spacing w:before="120" w:after="120" w:line="276" w:lineRule="auto"/>
        <w:rPr>
          <w:rFonts w:asciiTheme="minorHAnsi" w:hAnsiTheme="minorHAnsi" w:cstheme="minorHAnsi"/>
          <w:noProof/>
          <w:sz w:val="24"/>
          <w:szCs w:val="24"/>
          <w:lang w:val="en-US"/>
        </w:rPr>
      </w:pPr>
      <w:r>
        <w:rPr>
          <w:rFonts w:asciiTheme="minorHAnsi" w:hAnsiTheme="minorHAnsi" w:cstheme="minorHAnsi"/>
          <w:noProof/>
          <w:sz w:val="24"/>
          <w:szCs w:val="24"/>
          <w:lang w:val="en-US"/>
        </w:rPr>
        <w:t>CLSI</w:t>
      </w:r>
      <w:r>
        <w:rPr>
          <w:rFonts w:asciiTheme="minorHAnsi" w:hAnsiTheme="minorHAnsi" w:cstheme="minorHAnsi"/>
          <w:noProof/>
          <w:sz w:val="24"/>
          <w:szCs w:val="24"/>
          <w:lang w:val="en-US"/>
        </w:rPr>
        <w:tab/>
      </w:r>
      <w:r w:rsidRPr="00C23E1D">
        <w:rPr>
          <w:rFonts w:asciiTheme="minorHAnsi" w:hAnsiTheme="minorHAnsi" w:cstheme="minorHAnsi"/>
          <w:noProof/>
          <w:sz w:val="24"/>
          <w:szCs w:val="24"/>
          <w:lang w:val="en-US"/>
        </w:rPr>
        <w:t>Clinical and Laboratory Standards Institute</w:t>
      </w:r>
    </w:p>
    <w:p w14:paraId="5E5DE99F" w14:textId="77777777" w:rsidR="00C23E1D" w:rsidRDefault="00C23E1D" w:rsidP="006D760F">
      <w:pPr>
        <w:pStyle w:val="TOC1"/>
        <w:tabs>
          <w:tab w:val="clear" w:pos="600"/>
          <w:tab w:val="left" w:pos="1701"/>
        </w:tabs>
        <w:rPr>
          <w:sz w:val="24"/>
          <w:szCs w:val="24"/>
        </w:rPr>
      </w:pPr>
      <w:r w:rsidRPr="00C23E1D">
        <w:rPr>
          <w:sz w:val="24"/>
          <w:szCs w:val="24"/>
        </w:rPr>
        <w:t xml:space="preserve">EUCAST </w:t>
      </w:r>
      <w:r w:rsidRPr="00C23E1D">
        <w:rPr>
          <w:sz w:val="24"/>
          <w:szCs w:val="24"/>
        </w:rPr>
        <w:tab/>
        <w:t>European Committee on Antimicrobial Susceptibility Testing</w:t>
      </w:r>
    </w:p>
    <w:p w14:paraId="53D85C7E" w14:textId="33C1F288" w:rsidR="006D760F" w:rsidRDefault="006D760F" w:rsidP="00104D33">
      <w:pPr>
        <w:pStyle w:val="EGASP"/>
      </w:pPr>
      <w:r>
        <w:t>GLASS</w:t>
      </w:r>
      <w:r>
        <w:tab/>
      </w:r>
      <w:r w:rsidRPr="006D760F">
        <w:t>Global Antimicrobial Resistance Surveillance System</w:t>
      </w:r>
    </w:p>
    <w:p w14:paraId="32822698" w14:textId="4D9F213A" w:rsidR="00104D33" w:rsidRDefault="00104D33" w:rsidP="00104D33">
      <w:pPr>
        <w:pStyle w:val="EGASP"/>
      </w:pPr>
      <w:r>
        <w:t>EGASP</w:t>
      </w:r>
      <w:r>
        <w:tab/>
      </w:r>
      <w:r w:rsidRPr="00104D33">
        <w:t>Enhanced Gonococcal Antimicrobial Surveillance Programme</w:t>
      </w:r>
      <w:r>
        <w:t xml:space="preserve"> </w:t>
      </w:r>
    </w:p>
    <w:p w14:paraId="2E611E8C" w14:textId="77777777" w:rsidR="006D760F" w:rsidRDefault="006D760F" w:rsidP="006D760F">
      <w:pPr>
        <w:tabs>
          <w:tab w:val="left" w:pos="1701"/>
        </w:tabs>
        <w:spacing w:before="120" w:after="120" w:line="276" w:lineRule="auto"/>
        <w:rPr>
          <w:rFonts w:asciiTheme="minorHAnsi" w:hAnsiTheme="minorHAnsi" w:cstheme="minorHAnsi"/>
          <w:sz w:val="24"/>
          <w:szCs w:val="24"/>
          <w:lang w:val="en-US"/>
        </w:rPr>
      </w:pPr>
      <w:r w:rsidRPr="006D760F">
        <w:rPr>
          <w:rFonts w:asciiTheme="minorHAnsi" w:hAnsiTheme="minorHAnsi" w:cstheme="minorHAnsi"/>
          <w:sz w:val="24"/>
          <w:szCs w:val="24"/>
          <w:lang w:val="en-US"/>
        </w:rPr>
        <w:t>ID</w:t>
      </w:r>
      <w:r>
        <w:rPr>
          <w:rFonts w:asciiTheme="minorHAnsi" w:hAnsiTheme="minorHAnsi" w:cstheme="minorHAnsi"/>
          <w:sz w:val="24"/>
          <w:szCs w:val="24"/>
          <w:lang w:val="en-US"/>
        </w:rPr>
        <w:tab/>
        <w:t>Identifier</w:t>
      </w:r>
    </w:p>
    <w:p w14:paraId="5EDDB35B" w14:textId="77777777" w:rsidR="006D760F" w:rsidRPr="006D760F" w:rsidRDefault="006D760F" w:rsidP="006D760F">
      <w:pPr>
        <w:tabs>
          <w:tab w:val="left" w:pos="1701"/>
        </w:tabs>
        <w:spacing w:before="120" w:after="120" w:line="276" w:lineRule="auto"/>
        <w:rPr>
          <w:rFonts w:asciiTheme="minorHAnsi" w:hAnsiTheme="minorHAnsi" w:cstheme="minorHAnsi"/>
          <w:noProof/>
          <w:sz w:val="24"/>
          <w:szCs w:val="24"/>
          <w:lang w:val="en-US"/>
        </w:rPr>
      </w:pPr>
      <w:r>
        <w:rPr>
          <w:rFonts w:asciiTheme="minorHAnsi" w:hAnsiTheme="minorHAnsi" w:cstheme="minorHAnsi"/>
          <w:sz w:val="24"/>
          <w:szCs w:val="24"/>
          <w:lang w:val="en-US"/>
        </w:rPr>
        <w:t>MIC</w:t>
      </w:r>
      <w:r>
        <w:rPr>
          <w:rFonts w:asciiTheme="minorHAnsi" w:hAnsiTheme="minorHAnsi" w:cstheme="minorHAnsi"/>
          <w:sz w:val="24"/>
          <w:szCs w:val="24"/>
          <w:lang w:val="en-US"/>
        </w:rPr>
        <w:tab/>
      </w:r>
      <w:r w:rsidR="00C23E1D">
        <w:rPr>
          <w:rFonts w:asciiTheme="minorHAnsi" w:hAnsiTheme="minorHAnsi" w:cstheme="minorHAnsi"/>
          <w:sz w:val="24"/>
          <w:szCs w:val="24"/>
          <w:lang w:val="en-US"/>
        </w:rPr>
        <w:t>Minimum inhibitory concentration</w:t>
      </w:r>
    </w:p>
    <w:p w14:paraId="7A36835F" w14:textId="77777777" w:rsidR="006D760F" w:rsidRPr="006D760F" w:rsidRDefault="006D760F" w:rsidP="006D760F">
      <w:pPr>
        <w:tabs>
          <w:tab w:val="left" w:pos="1701"/>
        </w:tabs>
        <w:spacing w:before="120" w:after="120" w:line="276" w:lineRule="auto"/>
        <w:rPr>
          <w:rFonts w:asciiTheme="minorHAnsi" w:hAnsiTheme="minorHAnsi" w:cstheme="minorHAnsi"/>
          <w:noProof/>
          <w:sz w:val="24"/>
          <w:szCs w:val="24"/>
          <w:lang w:val="en-US"/>
        </w:rPr>
      </w:pPr>
      <w:r w:rsidRPr="006D760F">
        <w:rPr>
          <w:rFonts w:asciiTheme="minorHAnsi" w:hAnsiTheme="minorHAnsi" w:cstheme="minorHAnsi"/>
          <w:noProof/>
          <w:sz w:val="24"/>
          <w:szCs w:val="24"/>
          <w:lang w:val="en-US"/>
        </w:rPr>
        <w:t>WHO</w:t>
      </w:r>
      <w:r w:rsidRPr="006D760F">
        <w:rPr>
          <w:rFonts w:asciiTheme="minorHAnsi" w:hAnsiTheme="minorHAnsi" w:cstheme="minorHAnsi"/>
          <w:noProof/>
          <w:sz w:val="24"/>
          <w:szCs w:val="24"/>
          <w:lang w:val="en-US"/>
        </w:rPr>
        <w:tab/>
        <w:t>World Health Organization</w:t>
      </w:r>
    </w:p>
    <w:p w14:paraId="185AC122" w14:textId="77777777" w:rsidR="006D760F" w:rsidRPr="006D760F" w:rsidRDefault="006D760F" w:rsidP="006D760F">
      <w:pPr>
        <w:pStyle w:val="TOC1"/>
        <w:rPr>
          <w:sz w:val="24"/>
          <w:szCs w:val="24"/>
        </w:rPr>
      </w:pPr>
      <w:r w:rsidRPr="006D760F">
        <w:rPr>
          <w:sz w:val="24"/>
          <w:szCs w:val="24"/>
        </w:rPr>
        <w:br w:type="page"/>
      </w:r>
    </w:p>
    <w:p w14:paraId="6CB0054C" w14:textId="77777777" w:rsidR="00795FF7" w:rsidRPr="00814E53" w:rsidRDefault="00795FF7" w:rsidP="00814E53">
      <w:pPr>
        <w:pStyle w:val="TOC1"/>
        <w:rPr>
          <w:b/>
          <w:sz w:val="36"/>
          <w:szCs w:val="36"/>
        </w:rPr>
      </w:pPr>
      <w:r w:rsidRPr="00814E53">
        <w:rPr>
          <w:b/>
          <w:sz w:val="36"/>
          <w:szCs w:val="36"/>
        </w:rPr>
        <w:lastRenderedPageBreak/>
        <w:t>Table of Contents</w:t>
      </w:r>
    </w:p>
    <w:p w14:paraId="37C82D8B" w14:textId="77777777" w:rsidR="00795FF7" w:rsidRPr="00C370B6" w:rsidRDefault="00795FF7" w:rsidP="00795FF7">
      <w:pPr>
        <w:rPr>
          <w:rFonts w:asciiTheme="minorHAnsi" w:hAnsiTheme="minorHAnsi" w:cstheme="minorHAnsi"/>
          <w:sz w:val="22"/>
          <w:szCs w:val="22"/>
        </w:rPr>
      </w:pPr>
    </w:p>
    <w:p w14:paraId="2BC6CF62" w14:textId="2ADC0386" w:rsidR="00176323" w:rsidRDefault="00795FF7">
      <w:pPr>
        <w:pStyle w:val="TOC1"/>
        <w:rPr>
          <w:rFonts w:eastAsiaTheme="minorEastAsia" w:cstheme="minorBidi"/>
          <w:kern w:val="2"/>
          <w:sz w:val="24"/>
          <w:szCs w:val="24"/>
          <w14:ligatures w14:val="standardContextual"/>
        </w:rPr>
      </w:pPr>
      <w:r w:rsidRPr="00814E53">
        <w:fldChar w:fldCharType="begin"/>
      </w:r>
      <w:r w:rsidRPr="00814E53">
        <w:instrText xml:space="preserve"> TOC \o "1-2" \h \z \u </w:instrText>
      </w:r>
      <w:r w:rsidRPr="00814E53">
        <w:fldChar w:fldCharType="separate"/>
      </w:r>
      <w:hyperlink w:anchor="_Toc170728110" w:history="1">
        <w:r w:rsidR="00176323" w:rsidRPr="005A5C93">
          <w:rPr>
            <w:rStyle w:val="Hyperlink"/>
          </w:rPr>
          <w:t>1.</w:t>
        </w:r>
        <w:r w:rsidR="00176323">
          <w:rPr>
            <w:rFonts w:eastAsiaTheme="minorEastAsia" w:cstheme="minorBidi"/>
            <w:kern w:val="2"/>
            <w:sz w:val="24"/>
            <w:szCs w:val="24"/>
            <w14:ligatures w14:val="standardContextual"/>
          </w:rPr>
          <w:tab/>
        </w:r>
        <w:r w:rsidR="00176323" w:rsidRPr="005A5C93">
          <w:rPr>
            <w:rStyle w:val="Hyperlink"/>
          </w:rPr>
          <w:t>Introduction</w:t>
        </w:r>
        <w:r w:rsidR="00176323">
          <w:rPr>
            <w:webHidden/>
          </w:rPr>
          <w:tab/>
        </w:r>
        <w:r w:rsidR="00176323">
          <w:rPr>
            <w:webHidden/>
          </w:rPr>
          <w:fldChar w:fldCharType="begin"/>
        </w:r>
        <w:r w:rsidR="00176323">
          <w:rPr>
            <w:webHidden/>
          </w:rPr>
          <w:instrText xml:space="preserve"> PAGEREF _Toc170728110 \h </w:instrText>
        </w:r>
        <w:r w:rsidR="00176323">
          <w:rPr>
            <w:webHidden/>
          </w:rPr>
        </w:r>
        <w:r w:rsidR="00176323">
          <w:rPr>
            <w:webHidden/>
          </w:rPr>
          <w:fldChar w:fldCharType="separate"/>
        </w:r>
        <w:r w:rsidR="005D219F">
          <w:rPr>
            <w:webHidden/>
          </w:rPr>
          <w:t>1</w:t>
        </w:r>
        <w:r w:rsidR="00176323">
          <w:rPr>
            <w:webHidden/>
          </w:rPr>
          <w:fldChar w:fldCharType="end"/>
        </w:r>
      </w:hyperlink>
    </w:p>
    <w:p w14:paraId="050EB9D2" w14:textId="4A69497A" w:rsidR="00176323" w:rsidRDefault="00000000">
      <w:pPr>
        <w:pStyle w:val="TOC1"/>
        <w:rPr>
          <w:rFonts w:eastAsiaTheme="minorEastAsia" w:cstheme="minorBidi"/>
          <w:kern w:val="2"/>
          <w:sz w:val="24"/>
          <w:szCs w:val="24"/>
          <w14:ligatures w14:val="standardContextual"/>
        </w:rPr>
      </w:pPr>
      <w:hyperlink w:anchor="_Toc170728111" w:history="1">
        <w:r w:rsidR="00176323" w:rsidRPr="005A5C93">
          <w:rPr>
            <w:rStyle w:val="Hyperlink"/>
          </w:rPr>
          <w:t>2.</w:t>
        </w:r>
        <w:r w:rsidR="00176323">
          <w:rPr>
            <w:rFonts w:eastAsiaTheme="minorEastAsia" w:cstheme="minorBidi"/>
            <w:kern w:val="2"/>
            <w:sz w:val="24"/>
            <w:szCs w:val="24"/>
            <w14:ligatures w14:val="standardContextual"/>
          </w:rPr>
          <w:tab/>
        </w:r>
        <w:r w:rsidR="00176323" w:rsidRPr="005A5C93">
          <w:rPr>
            <w:rStyle w:val="Hyperlink"/>
          </w:rPr>
          <w:t>Installing WHONET</w:t>
        </w:r>
        <w:r w:rsidR="00176323">
          <w:rPr>
            <w:webHidden/>
          </w:rPr>
          <w:tab/>
        </w:r>
        <w:r w:rsidR="00176323">
          <w:rPr>
            <w:webHidden/>
          </w:rPr>
          <w:fldChar w:fldCharType="begin"/>
        </w:r>
        <w:r w:rsidR="00176323">
          <w:rPr>
            <w:webHidden/>
          </w:rPr>
          <w:instrText xml:space="preserve"> PAGEREF _Toc170728111 \h </w:instrText>
        </w:r>
        <w:r w:rsidR="00176323">
          <w:rPr>
            <w:webHidden/>
          </w:rPr>
        </w:r>
        <w:r w:rsidR="00176323">
          <w:rPr>
            <w:webHidden/>
          </w:rPr>
          <w:fldChar w:fldCharType="separate"/>
        </w:r>
        <w:r w:rsidR="005D219F">
          <w:rPr>
            <w:webHidden/>
          </w:rPr>
          <w:t>2</w:t>
        </w:r>
        <w:r w:rsidR="00176323">
          <w:rPr>
            <w:webHidden/>
          </w:rPr>
          <w:fldChar w:fldCharType="end"/>
        </w:r>
      </w:hyperlink>
    </w:p>
    <w:p w14:paraId="20FB7140" w14:textId="34AFAE0A" w:rsidR="00176323" w:rsidRDefault="00000000">
      <w:pPr>
        <w:pStyle w:val="TOC1"/>
        <w:rPr>
          <w:rFonts w:eastAsiaTheme="minorEastAsia" w:cstheme="minorBidi"/>
          <w:kern w:val="2"/>
          <w:sz w:val="24"/>
          <w:szCs w:val="24"/>
          <w14:ligatures w14:val="standardContextual"/>
        </w:rPr>
      </w:pPr>
      <w:hyperlink w:anchor="_Toc170728112" w:history="1">
        <w:r w:rsidR="00176323" w:rsidRPr="005A5C93">
          <w:rPr>
            <w:rStyle w:val="Hyperlink"/>
          </w:rPr>
          <w:t>3.</w:t>
        </w:r>
        <w:r w:rsidR="00176323">
          <w:rPr>
            <w:rFonts w:eastAsiaTheme="minorEastAsia" w:cstheme="minorBidi"/>
            <w:kern w:val="2"/>
            <w:sz w:val="24"/>
            <w:szCs w:val="24"/>
            <w14:ligatures w14:val="standardContextual"/>
          </w:rPr>
          <w:tab/>
        </w:r>
        <w:r w:rsidR="00176323" w:rsidRPr="005A5C93">
          <w:rPr>
            <w:rStyle w:val="Hyperlink"/>
          </w:rPr>
          <w:t>Laboratory configuration</w:t>
        </w:r>
        <w:r w:rsidR="00176323">
          <w:rPr>
            <w:webHidden/>
          </w:rPr>
          <w:tab/>
        </w:r>
        <w:r w:rsidR="00176323">
          <w:rPr>
            <w:webHidden/>
          </w:rPr>
          <w:fldChar w:fldCharType="begin"/>
        </w:r>
        <w:r w:rsidR="00176323">
          <w:rPr>
            <w:webHidden/>
          </w:rPr>
          <w:instrText xml:space="preserve"> PAGEREF _Toc170728112 \h </w:instrText>
        </w:r>
        <w:r w:rsidR="00176323">
          <w:rPr>
            <w:webHidden/>
          </w:rPr>
        </w:r>
        <w:r w:rsidR="00176323">
          <w:rPr>
            <w:webHidden/>
          </w:rPr>
          <w:fldChar w:fldCharType="separate"/>
        </w:r>
        <w:r w:rsidR="005D219F">
          <w:rPr>
            <w:webHidden/>
          </w:rPr>
          <w:t>3</w:t>
        </w:r>
        <w:r w:rsidR="00176323">
          <w:rPr>
            <w:webHidden/>
          </w:rPr>
          <w:fldChar w:fldCharType="end"/>
        </w:r>
      </w:hyperlink>
    </w:p>
    <w:p w14:paraId="6934746C" w14:textId="729AD604" w:rsidR="00176323" w:rsidRDefault="00000000">
      <w:pPr>
        <w:pStyle w:val="TOC2"/>
        <w:rPr>
          <w:rFonts w:eastAsiaTheme="minorEastAsia" w:cstheme="minorBidi"/>
          <w:b w:val="0"/>
          <w:bCs w:val="0"/>
          <w:noProof/>
          <w:kern w:val="2"/>
          <w:sz w:val="24"/>
          <w:lang w:val="en-US"/>
          <w14:ligatures w14:val="standardContextual"/>
        </w:rPr>
      </w:pPr>
      <w:hyperlink w:anchor="_Toc170728113" w:history="1">
        <w:r w:rsidR="00176323" w:rsidRPr="005A5C93">
          <w:rPr>
            <w:rStyle w:val="Hyperlink"/>
            <w:noProof/>
          </w:rPr>
          <w:t>3.1     Creating a new laboratory configuration</w:t>
        </w:r>
        <w:r w:rsidR="00176323">
          <w:rPr>
            <w:noProof/>
            <w:webHidden/>
          </w:rPr>
          <w:tab/>
        </w:r>
        <w:r w:rsidR="00176323">
          <w:rPr>
            <w:noProof/>
            <w:webHidden/>
          </w:rPr>
          <w:fldChar w:fldCharType="begin"/>
        </w:r>
        <w:r w:rsidR="00176323">
          <w:rPr>
            <w:noProof/>
            <w:webHidden/>
          </w:rPr>
          <w:instrText xml:space="preserve"> PAGEREF _Toc170728113 \h </w:instrText>
        </w:r>
        <w:r w:rsidR="00176323">
          <w:rPr>
            <w:noProof/>
            <w:webHidden/>
          </w:rPr>
        </w:r>
        <w:r w:rsidR="00176323">
          <w:rPr>
            <w:noProof/>
            <w:webHidden/>
          </w:rPr>
          <w:fldChar w:fldCharType="separate"/>
        </w:r>
        <w:r w:rsidR="005D219F">
          <w:rPr>
            <w:noProof/>
            <w:webHidden/>
          </w:rPr>
          <w:t>3</w:t>
        </w:r>
        <w:r w:rsidR="00176323">
          <w:rPr>
            <w:noProof/>
            <w:webHidden/>
          </w:rPr>
          <w:fldChar w:fldCharType="end"/>
        </w:r>
      </w:hyperlink>
    </w:p>
    <w:p w14:paraId="1C633AB6" w14:textId="680C48FB" w:rsidR="00176323" w:rsidRDefault="00000000">
      <w:pPr>
        <w:pStyle w:val="TOC2"/>
        <w:rPr>
          <w:rFonts w:eastAsiaTheme="minorEastAsia" w:cstheme="minorBidi"/>
          <w:b w:val="0"/>
          <w:bCs w:val="0"/>
          <w:noProof/>
          <w:kern w:val="2"/>
          <w:sz w:val="24"/>
          <w:lang w:val="en-US"/>
          <w14:ligatures w14:val="standardContextual"/>
        </w:rPr>
      </w:pPr>
      <w:hyperlink w:anchor="_Toc170728114" w:history="1">
        <w:r w:rsidR="00176323" w:rsidRPr="005A5C93">
          <w:rPr>
            <w:rStyle w:val="Hyperlink"/>
            <w:noProof/>
          </w:rPr>
          <w:t>3.2     Copying an existing laboratory configuration</w:t>
        </w:r>
        <w:r w:rsidR="00176323">
          <w:rPr>
            <w:noProof/>
            <w:webHidden/>
          </w:rPr>
          <w:tab/>
        </w:r>
        <w:r w:rsidR="00176323">
          <w:rPr>
            <w:noProof/>
            <w:webHidden/>
          </w:rPr>
          <w:fldChar w:fldCharType="begin"/>
        </w:r>
        <w:r w:rsidR="00176323">
          <w:rPr>
            <w:noProof/>
            <w:webHidden/>
          </w:rPr>
          <w:instrText xml:space="preserve"> PAGEREF _Toc170728114 \h </w:instrText>
        </w:r>
        <w:r w:rsidR="00176323">
          <w:rPr>
            <w:noProof/>
            <w:webHidden/>
          </w:rPr>
        </w:r>
        <w:r w:rsidR="00176323">
          <w:rPr>
            <w:noProof/>
            <w:webHidden/>
          </w:rPr>
          <w:fldChar w:fldCharType="separate"/>
        </w:r>
        <w:r w:rsidR="005D219F">
          <w:rPr>
            <w:noProof/>
            <w:webHidden/>
          </w:rPr>
          <w:t>6</w:t>
        </w:r>
        <w:r w:rsidR="00176323">
          <w:rPr>
            <w:noProof/>
            <w:webHidden/>
          </w:rPr>
          <w:fldChar w:fldCharType="end"/>
        </w:r>
      </w:hyperlink>
    </w:p>
    <w:p w14:paraId="25D02C0A" w14:textId="7A235DF0" w:rsidR="00176323" w:rsidRDefault="00000000">
      <w:pPr>
        <w:pStyle w:val="TOC2"/>
        <w:rPr>
          <w:rFonts w:eastAsiaTheme="minorEastAsia" w:cstheme="minorBidi"/>
          <w:b w:val="0"/>
          <w:bCs w:val="0"/>
          <w:noProof/>
          <w:kern w:val="2"/>
          <w:sz w:val="24"/>
          <w:lang w:val="en-US"/>
          <w14:ligatures w14:val="standardContextual"/>
        </w:rPr>
      </w:pPr>
      <w:hyperlink w:anchor="_Toc170728115" w:history="1">
        <w:r w:rsidR="00176323" w:rsidRPr="005A5C93">
          <w:rPr>
            <w:rStyle w:val="Hyperlink"/>
            <w:noProof/>
          </w:rPr>
          <w:t>3.3     Modifying laboratory configuration</w:t>
        </w:r>
        <w:r w:rsidR="00176323">
          <w:rPr>
            <w:noProof/>
            <w:webHidden/>
          </w:rPr>
          <w:tab/>
        </w:r>
        <w:r w:rsidR="00176323">
          <w:rPr>
            <w:noProof/>
            <w:webHidden/>
          </w:rPr>
          <w:fldChar w:fldCharType="begin"/>
        </w:r>
        <w:r w:rsidR="00176323">
          <w:rPr>
            <w:noProof/>
            <w:webHidden/>
          </w:rPr>
          <w:instrText xml:space="preserve"> PAGEREF _Toc170728115 \h </w:instrText>
        </w:r>
        <w:r w:rsidR="00176323">
          <w:rPr>
            <w:noProof/>
            <w:webHidden/>
          </w:rPr>
        </w:r>
        <w:r w:rsidR="00176323">
          <w:rPr>
            <w:noProof/>
            <w:webHidden/>
          </w:rPr>
          <w:fldChar w:fldCharType="separate"/>
        </w:r>
        <w:r w:rsidR="005D219F">
          <w:rPr>
            <w:noProof/>
            <w:webHidden/>
          </w:rPr>
          <w:t>7</w:t>
        </w:r>
        <w:r w:rsidR="00176323">
          <w:rPr>
            <w:noProof/>
            <w:webHidden/>
          </w:rPr>
          <w:fldChar w:fldCharType="end"/>
        </w:r>
      </w:hyperlink>
    </w:p>
    <w:p w14:paraId="3E363FE5" w14:textId="217E9639" w:rsidR="00176323" w:rsidRDefault="00000000">
      <w:pPr>
        <w:pStyle w:val="TOC1"/>
        <w:rPr>
          <w:rFonts w:eastAsiaTheme="minorEastAsia" w:cstheme="minorBidi"/>
          <w:kern w:val="2"/>
          <w:sz w:val="24"/>
          <w:szCs w:val="24"/>
          <w14:ligatures w14:val="standardContextual"/>
        </w:rPr>
      </w:pPr>
      <w:hyperlink w:anchor="_Toc170728116" w:history="1">
        <w:r w:rsidR="00176323" w:rsidRPr="005A5C93">
          <w:rPr>
            <w:rStyle w:val="Hyperlink"/>
            <w:lang w:val="en-GB"/>
          </w:rPr>
          <w:t>4.</w:t>
        </w:r>
        <w:r w:rsidR="00176323">
          <w:rPr>
            <w:rFonts w:eastAsiaTheme="minorEastAsia" w:cstheme="minorBidi"/>
            <w:kern w:val="2"/>
            <w:sz w:val="24"/>
            <w:szCs w:val="24"/>
            <w14:ligatures w14:val="standardContextual"/>
          </w:rPr>
          <w:tab/>
        </w:r>
        <w:r w:rsidR="00176323" w:rsidRPr="005A5C93">
          <w:rPr>
            <w:rStyle w:val="Hyperlink"/>
            <w:lang w:val="en-GB"/>
          </w:rPr>
          <w:t>WHONET data entry for EGASP</w:t>
        </w:r>
        <w:r w:rsidR="00176323">
          <w:rPr>
            <w:webHidden/>
          </w:rPr>
          <w:tab/>
        </w:r>
        <w:r w:rsidR="00176323">
          <w:rPr>
            <w:webHidden/>
          </w:rPr>
          <w:fldChar w:fldCharType="begin"/>
        </w:r>
        <w:r w:rsidR="00176323">
          <w:rPr>
            <w:webHidden/>
          </w:rPr>
          <w:instrText xml:space="preserve"> PAGEREF _Toc170728116 \h </w:instrText>
        </w:r>
        <w:r w:rsidR="00176323">
          <w:rPr>
            <w:webHidden/>
          </w:rPr>
        </w:r>
        <w:r w:rsidR="00176323">
          <w:rPr>
            <w:webHidden/>
          </w:rPr>
          <w:fldChar w:fldCharType="separate"/>
        </w:r>
        <w:r w:rsidR="005D219F">
          <w:rPr>
            <w:webHidden/>
          </w:rPr>
          <w:t>9</w:t>
        </w:r>
        <w:r w:rsidR="00176323">
          <w:rPr>
            <w:webHidden/>
          </w:rPr>
          <w:fldChar w:fldCharType="end"/>
        </w:r>
      </w:hyperlink>
    </w:p>
    <w:p w14:paraId="423DF9E0" w14:textId="4668AE7E" w:rsidR="00176323" w:rsidRDefault="00000000">
      <w:pPr>
        <w:pStyle w:val="TOC2"/>
        <w:rPr>
          <w:rFonts w:eastAsiaTheme="minorEastAsia" w:cstheme="minorBidi"/>
          <w:b w:val="0"/>
          <w:bCs w:val="0"/>
          <w:noProof/>
          <w:kern w:val="2"/>
          <w:sz w:val="24"/>
          <w:lang w:val="en-US"/>
          <w14:ligatures w14:val="standardContextual"/>
        </w:rPr>
      </w:pPr>
      <w:hyperlink w:anchor="_Toc170728117" w:history="1">
        <w:r w:rsidR="00176323" w:rsidRPr="005A5C93">
          <w:rPr>
            <w:rStyle w:val="Hyperlink"/>
            <w:noProof/>
          </w:rPr>
          <w:t>4.1</w:t>
        </w:r>
        <w:r w:rsidR="00176323">
          <w:rPr>
            <w:rFonts w:eastAsiaTheme="minorEastAsia" w:cstheme="minorBidi"/>
            <w:b w:val="0"/>
            <w:bCs w:val="0"/>
            <w:noProof/>
            <w:kern w:val="2"/>
            <w:sz w:val="24"/>
            <w:lang w:val="en-US"/>
            <w14:ligatures w14:val="standardContextual"/>
          </w:rPr>
          <w:tab/>
        </w:r>
        <w:r w:rsidR="00176323" w:rsidRPr="005A5C93">
          <w:rPr>
            <w:rStyle w:val="Hyperlink"/>
            <w:noProof/>
          </w:rPr>
          <w:t>General</w:t>
        </w:r>
        <w:r w:rsidR="00176323">
          <w:rPr>
            <w:noProof/>
            <w:webHidden/>
          </w:rPr>
          <w:tab/>
        </w:r>
        <w:r w:rsidR="00176323">
          <w:rPr>
            <w:noProof/>
            <w:webHidden/>
          </w:rPr>
          <w:fldChar w:fldCharType="begin"/>
        </w:r>
        <w:r w:rsidR="00176323">
          <w:rPr>
            <w:noProof/>
            <w:webHidden/>
          </w:rPr>
          <w:instrText xml:space="preserve"> PAGEREF _Toc170728117 \h </w:instrText>
        </w:r>
        <w:r w:rsidR="00176323">
          <w:rPr>
            <w:noProof/>
            <w:webHidden/>
          </w:rPr>
        </w:r>
        <w:r w:rsidR="00176323">
          <w:rPr>
            <w:noProof/>
            <w:webHidden/>
          </w:rPr>
          <w:fldChar w:fldCharType="separate"/>
        </w:r>
        <w:r w:rsidR="005D219F">
          <w:rPr>
            <w:noProof/>
            <w:webHidden/>
          </w:rPr>
          <w:t>9</w:t>
        </w:r>
        <w:r w:rsidR="00176323">
          <w:rPr>
            <w:noProof/>
            <w:webHidden/>
          </w:rPr>
          <w:fldChar w:fldCharType="end"/>
        </w:r>
      </w:hyperlink>
    </w:p>
    <w:p w14:paraId="5EA7DD5D" w14:textId="0F1F39AF" w:rsidR="00176323" w:rsidRDefault="00000000">
      <w:pPr>
        <w:pStyle w:val="TOC2"/>
        <w:rPr>
          <w:rFonts w:eastAsiaTheme="minorEastAsia" w:cstheme="minorBidi"/>
          <w:b w:val="0"/>
          <w:bCs w:val="0"/>
          <w:noProof/>
          <w:kern w:val="2"/>
          <w:sz w:val="24"/>
          <w:lang w:val="en-US"/>
          <w14:ligatures w14:val="standardContextual"/>
        </w:rPr>
      </w:pPr>
      <w:hyperlink w:anchor="_Toc170728118" w:history="1">
        <w:r w:rsidR="00176323" w:rsidRPr="005A5C93">
          <w:rPr>
            <w:rStyle w:val="Hyperlink"/>
            <w:noProof/>
          </w:rPr>
          <w:t>4.2</w:t>
        </w:r>
        <w:r w:rsidR="00176323">
          <w:rPr>
            <w:rFonts w:eastAsiaTheme="minorEastAsia" w:cstheme="minorBidi"/>
            <w:b w:val="0"/>
            <w:bCs w:val="0"/>
            <w:noProof/>
            <w:kern w:val="2"/>
            <w:sz w:val="24"/>
            <w:lang w:val="en-US"/>
            <w14:ligatures w14:val="standardContextual"/>
          </w:rPr>
          <w:tab/>
        </w:r>
        <w:r w:rsidR="00176323" w:rsidRPr="005A5C93">
          <w:rPr>
            <w:rStyle w:val="Hyperlink"/>
            <w:noProof/>
          </w:rPr>
          <w:t>View database</w:t>
        </w:r>
        <w:r w:rsidR="00176323">
          <w:rPr>
            <w:noProof/>
            <w:webHidden/>
          </w:rPr>
          <w:tab/>
        </w:r>
        <w:r w:rsidR="00176323">
          <w:rPr>
            <w:noProof/>
            <w:webHidden/>
          </w:rPr>
          <w:fldChar w:fldCharType="begin"/>
        </w:r>
        <w:r w:rsidR="00176323">
          <w:rPr>
            <w:noProof/>
            <w:webHidden/>
          </w:rPr>
          <w:instrText xml:space="preserve"> PAGEREF _Toc170728118 \h </w:instrText>
        </w:r>
        <w:r w:rsidR="00176323">
          <w:rPr>
            <w:noProof/>
            <w:webHidden/>
          </w:rPr>
        </w:r>
        <w:r w:rsidR="00176323">
          <w:rPr>
            <w:noProof/>
            <w:webHidden/>
          </w:rPr>
          <w:fldChar w:fldCharType="separate"/>
        </w:r>
        <w:r w:rsidR="005D219F">
          <w:rPr>
            <w:noProof/>
            <w:webHidden/>
          </w:rPr>
          <w:t>10</w:t>
        </w:r>
        <w:r w:rsidR="00176323">
          <w:rPr>
            <w:noProof/>
            <w:webHidden/>
          </w:rPr>
          <w:fldChar w:fldCharType="end"/>
        </w:r>
      </w:hyperlink>
    </w:p>
    <w:p w14:paraId="68E43491" w14:textId="32F6BE86" w:rsidR="00176323" w:rsidRDefault="00000000">
      <w:pPr>
        <w:pStyle w:val="TOC1"/>
        <w:rPr>
          <w:rFonts w:eastAsiaTheme="minorEastAsia" w:cstheme="minorBidi"/>
          <w:kern w:val="2"/>
          <w:sz w:val="24"/>
          <w:szCs w:val="24"/>
          <w14:ligatures w14:val="standardContextual"/>
        </w:rPr>
      </w:pPr>
      <w:hyperlink w:anchor="_Toc170728119" w:history="1">
        <w:r w:rsidR="00176323" w:rsidRPr="005A5C93">
          <w:rPr>
            <w:rStyle w:val="Hyperlink"/>
            <w:lang w:val="en-GB"/>
          </w:rPr>
          <w:t>5.</w:t>
        </w:r>
        <w:r w:rsidR="00176323">
          <w:rPr>
            <w:rFonts w:eastAsiaTheme="minorEastAsia" w:cstheme="minorBidi"/>
            <w:kern w:val="2"/>
            <w:sz w:val="24"/>
            <w:szCs w:val="24"/>
            <w14:ligatures w14:val="standardContextual"/>
          </w:rPr>
          <w:tab/>
        </w:r>
        <w:r w:rsidR="00176323" w:rsidRPr="005A5C93">
          <w:rPr>
            <w:rStyle w:val="Hyperlink"/>
          </w:rPr>
          <w:t>Data</w:t>
        </w:r>
        <w:r w:rsidR="00176323" w:rsidRPr="005A5C93">
          <w:rPr>
            <w:rStyle w:val="Hyperlink"/>
            <w:lang w:val="en-GB"/>
          </w:rPr>
          <w:t xml:space="preserve"> collection at the national level</w:t>
        </w:r>
        <w:r w:rsidR="00176323">
          <w:rPr>
            <w:webHidden/>
          </w:rPr>
          <w:tab/>
        </w:r>
        <w:r w:rsidR="00176323">
          <w:rPr>
            <w:webHidden/>
          </w:rPr>
          <w:fldChar w:fldCharType="begin"/>
        </w:r>
        <w:r w:rsidR="00176323">
          <w:rPr>
            <w:webHidden/>
          </w:rPr>
          <w:instrText xml:space="preserve"> PAGEREF _Toc170728119 \h </w:instrText>
        </w:r>
        <w:r w:rsidR="00176323">
          <w:rPr>
            <w:webHidden/>
          </w:rPr>
        </w:r>
        <w:r w:rsidR="00176323">
          <w:rPr>
            <w:webHidden/>
          </w:rPr>
          <w:fldChar w:fldCharType="separate"/>
        </w:r>
        <w:r w:rsidR="005D219F">
          <w:rPr>
            <w:webHidden/>
          </w:rPr>
          <w:t>11</w:t>
        </w:r>
        <w:r w:rsidR="00176323">
          <w:rPr>
            <w:webHidden/>
          </w:rPr>
          <w:fldChar w:fldCharType="end"/>
        </w:r>
      </w:hyperlink>
    </w:p>
    <w:p w14:paraId="15C17B37" w14:textId="49F93DA7" w:rsidR="00176323" w:rsidRDefault="00000000">
      <w:pPr>
        <w:pStyle w:val="TOC1"/>
        <w:rPr>
          <w:rFonts w:eastAsiaTheme="minorEastAsia" w:cstheme="minorBidi"/>
          <w:kern w:val="2"/>
          <w:sz w:val="24"/>
          <w:szCs w:val="24"/>
          <w14:ligatures w14:val="standardContextual"/>
        </w:rPr>
      </w:pPr>
      <w:hyperlink w:anchor="_Toc170728120" w:history="1">
        <w:r w:rsidR="00176323" w:rsidRPr="005A5C93">
          <w:rPr>
            <w:rStyle w:val="Hyperlink"/>
            <w:lang w:val="en-GB"/>
          </w:rPr>
          <w:t>6.</w:t>
        </w:r>
        <w:r w:rsidR="00176323">
          <w:rPr>
            <w:rFonts w:eastAsiaTheme="minorEastAsia" w:cstheme="minorBidi"/>
            <w:kern w:val="2"/>
            <w:sz w:val="24"/>
            <w:szCs w:val="24"/>
            <w14:ligatures w14:val="standardContextual"/>
          </w:rPr>
          <w:tab/>
        </w:r>
        <w:r w:rsidR="00176323" w:rsidRPr="005A5C93">
          <w:rPr>
            <w:rStyle w:val="Hyperlink"/>
            <w:lang w:val="en-GB"/>
          </w:rPr>
          <w:t>Exporting WHONET files to the EGASP exchange format</w:t>
        </w:r>
        <w:r w:rsidR="00176323">
          <w:rPr>
            <w:webHidden/>
          </w:rPr>
          <w:tab/>
        </w:r>
        <w:r w:rsidR="00176323">
          <w:rPr>
            <w:webHidden/>
          </w:rPr>
          <w:fldChar w:fldCharType="begin"/>
        </w:r>
        <w:r w:rsidR="00176323">
          <w:rPr>
            <w:webHidden/>
          </w:rPr>
          <w:instrText xml:space="preserve"> PAGEREF _Toc170728120 \h </w:instrText>
        </w:r>
        <w:r w:rsidR="00176323">
          <w:rPr>
            <w:webHidden/>
          </w:rPr>
        </w:r>
        <w:r w:rsidR="00176323">
          <w:rPr>
            <w:webHidden/>
          </w:rPr>
          <w:fldChar w:fldCharType="separate"/>
        </w:r>
        <w:r w:rsidR="005D219F">
          <w:rPr>
            <w:webHidden/>
          </w:rPr>
          <w:t>11</w:t>
        </w:r>
        <w:r w:rsidR="00176323">
          <w:rPr>
            <w:webHidden/>
          </w:rPr>
          <w:fldChar w:fldCharType="end"/>
        </w:r>
      </w:hyperlink>
    </w:p>
    <w:p w14:paraId="3AA0ACF8" w14:textId="2F474422" w:rsidR="00176323" w:rsidRDefault="00000000">
      <w:pPr>
        <w:pStyle w:val="TOC2"/>
        <w:rPr>
          <w:rFonts w:eastAsiaTheme="minorEastAsia" w:cstheme="minorBidi"/>
          <w:b w:val="0"/>
          <w:bCs w:val="0"/>
          <w:noProof/>
          <w:kern w:val="2"/>
          <w:sz w:val="24"/>
          <w:lang w:val="en-US"/>
          <w14:ligatures w14:val="standardContextual"/>
        </w:rPr>
      </w:pPr>
      <w:hyperlink w:anchor="_Toc170728121" w:history="1">
        <w:r w:rsidR="00176323" w:rsidRPr="005A5C93">
          <w:rPr>
            <w:rStyle w:val="Hyperlink"/>
            <w:noProof/>
          </w:rPr>
          <w:t>6.1</w:t>
        </w:r>
        <w:r w:rsidR="00176323">
          <w:rPr>
            <w:rFonts w:eastAsiaTheme="minorEastAsia" w:cstheme="minorBidi"/>
            <w:b w:val="0"/>
            <w:bCs w:val="0"/>
            <w:noProof/>
            <w:kern w:val="2"/>
            <w:sz w:val="24"/>
            <w:lang w:val="en-US"/>
            <w14:ligatures w14:val="standardContextual"/>
          </w:rPr>
          <w:tab/>
        </w:r>
        <w:r w:rsidR="00176323" w:rsidRPr="005A5C93">
          <w:rPr>
            <w:rStyle w:val="Hyperlink"/>
            <w:noProof/>
          </w:rPr>
          <w:t>Combining WHONET files</w:t>
        </w:r>
        <w:r w:rsidR="00176323">
          <w:rPr>
            <w:noProof/>
            <w:webHidden/>
          </w:rPr>
          <w:tab/>
        </w:r>
        <w:r w:rsidR="00176323">
          <w:rPr>
            <w:noProof/>
            <w:webHidden/>
          </w:rPr>
          <w:fldChar w:fldCharType="begin"/>
        </w:r>
        <w:r w:rsidR="00176323">
          <w:rPr>
            <w:noProof/>
            <w:webHidden/>
          </w:rPr>
          <w:instrText xml:space="preserve"> PAGEREF _Toc170728121 \h </w:instrText>
        </w:r>
        <w:r w:rsidR="00176323">
          <w:rPr>
            <w:noProof/>
            <w:webHidden/>
          </w:rPr>
        </w:r>
        <w:r w:rsidR="00176323">
          <w:rPr>
            <w:noProof/>
            <w:webHidden/>
          </w:rPr>
          <w:fldChar w:fldCharType="separate"/>
        </w:r>
        <w:r w:rsidR="005D219F">
          <w:rPr>
            <w:noProof/>
            <w:webHidden/>
          </w:rPr>
          <w:t>12</w:t>
        </w:r>
        <w:r w:rsidR="00176323">
          <w:rPr>
            <w:noProof/>
            <w:webHidden/>
          </w:rPr>
          <w:fldChar w:fldCharType="end"/>
        </w:r>
      </w:hyperlink>
    </w:p>
    <w:p w14:paraId="41188494" w14:textId="1376AE6C" w:rsidR="00176323" w:rsidRDefault="00000000">
      <w:pPr>
        <w:pStyle w:val="TOC2"/>
        <w:rPr>
          <w:rFonts w:eastAsiaTheme="minorEastAsia" w:cstheme="minorBidi"/>
          <w:b w:val="0"/>
          <w:bCs w:val="0"/>
          <w:noProof/>
          <w:kern w:val="2"/>
          <w:sz w:val="24"/>
          <w:lang w:val="en-US"/>
          <w14:ligatures w14:val="standardContextual"/>
        </w:rPr>
      </w:pPr>
      <w:hyperlink w:anchor="_Toc170728122" w:history="1">
        <w:r w:rsidR="00176323" w:rsidRPr="005A5C93">
          <w:rPr>
            <w:rStyle w:val="Hyperlink"/>
            <w:noProof/>
          </w:rPr>
          <w:t>6.2</w:t>
        </w:r>
        <w:r w:rsidR="00176323">
          <w:rPr>
            <w:rFonts w:eastAsiaTheme="minorEastAsia" w:cstheme="minorBidi"/>
            <w:b w:val="0"/>
            <w:bCs w:val="0"/>
            <w:noProof/>
            <w:kern w:val="2"/>
            <w:sz w:val="24"/>
            <w:lang w:val="en-US"/>
            <w14:ligatures w14:val="standardContextual"/>
          </w:rPr>
          <w:tab/>
        </w:r>
        <w:r w:rsidR="00176323" w:rsidRPr="005A5C93">
          <w:rPr>
            <w:rStyle w:val="Hyperlink"/>
            <w:noProof/>
          </w:rPr>
          <w:t>Downloading the data export template from the EGASP IT platform</w:t>
        </w:r>
        <w:r w:rsidR="00176323">
          <w:rPr>
            <w:noProof/>
            <w:webHidden/>
          </w:rPr>
          <w:tab/>
        </w:r>
        <w:r w:rsidR="00176323">
          <w:rPr>
            <w:noProof/>
            <w:webHidden/>
          </w:rPr>
          <w:fldChar w:fldCharType="begin"/>
        </w:r>
        <w:r w:rsidR="00176323">
          <w:rPr>
            <w:noProof/>
            <w:webHidden/>
          </w:rPr>
          <w:instrText xml:space="preserve"> PAGEREF _Toc170728122 \h </w:instrText>
        </w:r>
        <w:r w:rsidR="00176323">
          <w:rPr>
            <w:noProof/>
            <w:webHidden/>
          </w:rPr>
        </w:r>
        <w:r w:rsidR="00176323">
          <w:rPr>
            <w:noProof/>
            <w:webHidden/>
          </w:rPr>
          <w:fldChar w:fldCharType="separate"/>
        </w:r>
        <w:r w:rsidR="005D219F">
          <w:rPr>
            <w:noProof/>
            <w:webHidden/>
          </w:rPr>
          <w:t>12</w:t>
        </w:r>
        <w:r w:rsidR="00176323">
          <w:rPr>
            <w:noProof/>
            <w:webHidden/>
          </w:rPr>
          <w:fldChar w:fldCharType="end"/>
        </w:r>
      </w:hyperlink>
    </w:p>
    <w:p w14:paraId="64A2FD7A" w14:textId="7988B0BF" w:rsidR="00176323" w:rsidRDefault="00000000">
      <w:pPr>
        <w:pStyle w:val="TOC2"/>
        <w:rPr>
          <w:rFonts w:eastAsiaTheme="minorEastAsia" w:cstheme="minorBidi"/>
          <w:b w:val="0"/>
          <w:bCs w:val="0"/>
          <w:noProof/>
          <w:kern w:val="2"/>
          <w:sz w:val="24"/>
          <w:lang w:val="en-US"/>
          <w14:ligatures w14:val="standardContextual"/>
        </w:rPr>
      </w:pPr>
      <w:hyperlink w:anchor="_Toc170728123" w:history="1">
        <w:r w:rsidR="00176323" w:rsidRPr="005A5C93">
          <w:rPr>
            <w:rStyle w:val="Hyperlink"/>
            <w:noProof/>
          </w:rPr>
          <w:t>6.3</w:t>
        </w:r>
        <w:r w:rsidR="00176323">
          <w:rPr>
            <w:rFonts w:eastAsiaTheme="minorEastAsia" w:cstheme="minorBidi"/>
            <w:b w:val="0"/>
            <w:bCs w:val="0"/>
            <w:noProof/>
            <w:kern w:val="2"/>
            <w:sz w:val="24"/>
            <w:lang w:val="en-US"/>
            <w14:ligatures w14:val="standardContextual"/>
          </w:rPr>
          <w:tab/>
        </w:r>
        <w:r w:rsidR="00176323" w:rsidRPr="005A5C93">
          <w:rPr>
            <w:rStyle w:val="Hyperlink"/>
            <w:noProof/>
          </w:rPr>
          <w:t>Aggregation of WHONET files</w:t>
        </w:r>
        <w:r w:rsidR="00176323">
          <w:rPr>
            <w:noProof/>
            <w:webHidden/>
          </w:rPr>
          <w:tab/>
        </w:r>
        <w:r w:rsidR="00176323">
          <w:rPr>
            <w:noProof/>
            <w:webHidden/>
          </w:rPr>
          <w:fldChar w:fldCharType="begin"/>
        </w:r>
        <w:r w:rsidR="00176323">
          <w:rPr>
            <w:noProof/>
            <w:webHidden/>
          </w:rPr>
          <w:instrText xml:space="preserve"> PAGEREF _Toc170728123 \h </w:instrText>
        </w:r>
        <w:r w:rsidR="00176323">
          <w:rPr>
            <w:noProof/>
            <w:webHidden/>
          </w:rPr>
        </w:r>
        <w:r w:rsidR="00176323">
          <w:rPr>
            <w:noProof/>
            <w:webHidden/>
          </w:rPr>
          <w:fldChar w:fldCharType="separate"/>
        </w:r>
        <w:r w:rsidR="005D219F">
          <w:rPr>
            <w:noProof/>
            <w:webHidden/>
          </w:rPr>
          <w:t>15</w:t>
        </w:r>
        <w:r w:rsidR="00176323">
          <w:rPr>
            <w:noProof/>
            <w:webHidden/>
          </w:rPr>
          <w:fldChar w:fldCharType="end"/>
        </w:r>
      </w:hyperlink>
    </w:p>
    <w:p w14:paraId="5BE317BF" w14:textId="4E4F17E5" w:rsidR="00176323" w:rsidRDefault="00000000">
      <w:pPr>
        <w:pStyle w:val="TOC1"/>
        <w:rPr>
          <w:rFonts w:eastAsiaTheme="minorEastAsia" w:cstheme="minorBidi"/>
          <w:kern w:val="2"/>
          <w:sz w:val="24"/>
          <w:szCs w:val="24"/>
          <w14:ligatures w14:val="standardContextual"/>
        </w:rPr>
      </w:pPr>
      <w:hyperlink w:anchor="_Toc170728124" w:history="1">
        <w:r w:rsidR="00176323" w:rsidRPr="005A5C93">
          <w:rPr>
            <w:rStyle w:val="Hyperlink"/>
            <w:lang w:val="en-GB"/>
          </w:rPr>
          <w:t>7.</w:t>
        </w:r>
        <w:r w:rsidR="00176323">
          <w:rPr>
            <w:rFonts w:eastAsiaTheme="minorEastAsia" w:cstheme="minorBidi"/>
            <w:kern w:val="2"/>
            <w:sz w:val="24"/>
            <w:szCs w:val="24"/>
            <w14:ligatures w14:val="standardContextual"/>
          </w:rPr>
          <w:tab/>
        </w:r>
        <w:r w:rsidR="00176323" w:rsidRPr="005A5C93">
          <w:rPr>
            <w:rStyle w:val="Hyperlink"/>
            <w:lang w:val="en-GB"/>
          </w:rPr>
          <w:t>EGASP Data Monitoring and Feedback Report</w:t>
        </w:r>
        <w:r w:rsidR="00176323">
          <w:rPr>
            <w:webHidden/>
          </w:rPr>
          <w:tab/>
        </w:r>
        <w:r w:rsidR="00176323">
          <w:rPr>
            <w:webHidden/>
          </w:rPr>
          <w:fldChar w:fldCharType="begin"/>
        </w:r>
        <w:r w:rsidR="00176323">
          <w:rPr>
            <w:webHidden/>
          </w:rPr>
          <w:instrText xml:space="preserve"> PAGEREF _Toc170728124 \h </w:instrText>
        </w:r>
        <w:r w:rsidR="00176323">
          <w:rPr>
            <w:webHidden/>
          </w:rPr>
        </w:r>
        <w:r w:rsidR="00176323">
          <w:rPr>
            <w:webHidden/>
          </w:rPr>
          <w:fldChar w:fldCharType="separate"/>
        </w:r>
        <w:r w:rsidR="005D219F">
          <w:rPr>
            <w:webHidden/>
          </w:rPr>
          <w:t>18</w:t>
        </w:r>
        <w:r w:rsidR="00176323">
          <w:rPr>
            <w:webHidden/>
          </w:rPr>
          <w:fldChar w:fldCharType="end"/>
        </w:r>
      </w:hyperlink>
    </w:p>
    <w:p w14:paraId="3212DFD7" w14:textId="0367A0F0" w:rsidR="00176323" w:rsidRDefault="00000000">
      <w:pPr>
        <w:pStyle w:val="TOC1"/>
        <w:rPr>
          <w:rFonts w:eastAsiaTheme="minorEastAsia" w:cstheme="minorBidi"/>
          <w:kern w:val="2"/>
          <w:sz w:val="24"/>
          <w:szCs w:val="24"/>
          <w14:ligatures w14:val="standardContextual"/>
        </w:rPr>
      </w:pPr>
      <w:hyperlink w:anchor="_Toc170728125" w:history="1">
        <w:r w:rsidR="00176323" w:rsidRPr="005A5C93">
          <w:rPr>
            <w:rStyle w:val="Hyperlink"/>
          </w:rPr>
          <w:t>8.</w:t>
        </w:r>
        <w:r w:rsidR="00176323">
          <w:rPr>
            <w:rFonts w:eastAsiaTheme="minorEastAsia" w:cstheme="minorBidi"/>
            <w:kern w:val="2"/>
            <w:sz w:val="24"/>
            <w:szCs w:val="24"/>
            <w14:ligatures w14:val="standardContextual"/>
          </w:rPr>
          <w:tab/>
        </w:r>
        <w:r w:rsidR="00176323" w:rsidRPr="005A5C93">
          <w:rPr>
            <w:rStyle w:val="Hyperlink"/>
          </w:rPr>
          <w:t>Upload the EGASP-formatted data file to the EGASP IT platform</w:t>
        </w:r>
        <w:r w:rsidR="00176323">
          <w:rPr>
            <w:webHidden/>
          </w:rPr>
          <w:tab/>
        </w:r>
        <w:r w:rsidR="00176323">
          <w:rPr>
            <w:webHidden/>
          </w:rPr>
          <w:fldChar w:fldCharType="begin"/>
        </w:r>
        <w:r w:rsidR="00176323">
          <w:rPr>
            <w:webHidden/>
          </w:rPr>
          <w:instrText xml:space="preserve"> PAGEREF _Toc170728125 \h </w:instrText>
        </w:r>
        <w:r w:rsidR="00176323">
          <w:rPr>
            <w:webHidden/>
          </w:rPr>
        </w:r>
        <w:r w:rsidR="00176323">
          <w:rPr>
            <w:webHidden/>
          </w:rPr>
          <w:fldChar w:fldCharType="separate"/>
        </w:r>
        <w:r w:rsidR="005D219F">
          <w:rPr>
            <w:webHidden/>
          </w:rPr>
          <w:t>19</w:t>
        </w:r>
        <w:r w:rsidR="00176323">
          <w:rPr>
            <w:webHidden/>
          </w:rPr>
          <w:fldChar w:fldCharType="end"/>
        </w:r>
      </w:hyperlink>
    </w:p>
    <w:p w14:paraId="192212B3" w14:textId="420B5340" w:rsidR="00176323" w:rsidRDefault="00000000">
      <w:pPr>
        <w:pStyle w:val="TOC1"/>
        <w:rPr>
          <w:rFonts w:eastAsiaTheme="minorEastAsia" w:cstheme="minorBidi"/>
          <w:kern w:val="2"/>
          <w:sz w:val="24"/>
          <w:szCs w:val="24"/>
          <w14:ligatures w14:val="standardContextual"/>
        </w:rPr>
      </w:pPr>
      <w:hyperlink w:anchor="_Toc170728126" w:history="1">
        <w:r w:rsidR="00176323" w:rsidRPr="005A5C93">
          <w:rPr>
            <w:rStyle w:val="Hyperlink"/>
          </w:rPr>
          <w:t xml:space="preserve">Annex 1 </w:t>
        </w:r>
        <w:r w:rsidR="00176323" w:rsidRPr="005A5C93">
          <w:rPr>
            <w:rStyle w:val="Hyperlink"/>
            <w:rFonts w:hint="eastAsia"/>
          </w:rPr>
          <w:t>–</w:t>
        </w:r>
        <w:r w:rsidR="00176323" w:rsidRPr="005A5C93">
          <w:rPr>
            <w:rStyle w:val="Hyperlink"/>
          </w:rPr>
          <w:t xml:space="preserve"> Modify laboratory configuration</w:t>
        </w:r>
        <w:r w:rsidR="00176323">
          <w:rPr>
            <w:webHidden/>
          </w:rPr>
          <w:tab/>
        </w:r>
        <w:r w:rsidR="00176323">
          <w:rPr>
            <w:webHidden/>
          </w:rPr>
          <w:fldChar w:fldCharType="begin"/>
        </w:r>
        <w:r w:rsidR="00176323">
          <w:rPr>
            <w:webHidden/>
          </w:rPr>
          <w:instrText xml:space="preserve"> PAGEREF _Toc170728126 \h </w:instrText>
        </w:r>
        <w:r w:rsidR="00176323">
          <w:rPr>
            <w:webHidden/>
          </w:rPr>
        </w:r>
        <w:r w:rsidR="00176323">
          <w:rPr>
            <w:webHidden/>
          </w:rPr>
          <w:fldChar w:fldCharType="separate"/>
        </w:r>
        <w:r w:rsidR="005D219F">
          <w:rPr>
            <w:webHidden/>
          </w:rPr>
          <w:t>20</w:t>
        </w:r>
        <w:r w:rsidR="00176323">
          <w:rPr>
            <w:webHidden/>
          </w:rPr>
          <w:fldChar w:fldCharType="end"/>
        </w:r>
      </w:hyperlink>
    </w:p>
    <w:p w14:paraId="4B341D77" w14:textId="6A22E7CB" w:rsidR="00176323" w:rsidRDefault="00000000">
      <w:pPr>
        <w:pStyle w:val="TOC2"/>
        <w:rPr>
          <w:rFonts w:eastAsiaTheme="minorEastAsia" w:cstheme="minorBidi"/>
          <w:b w:val="0"/>
          <w:bCs w:val="0"/>
          <w:noProof/>
          <w:kern w:val="2"/>
          <w:sz w:val="24"/>
          <w:lang w:val="en-US"/>
          <w14:ligatures w14:val="standardContextual"/>
        </w:rPr>
      </w:pPr>
      <w:hyperlink w:anchor="_Toc170728127" w:history="1">
        <w:r w:rsidR="00176323" w:rsidRPr="005A5C93">
          <w:rPr>
            <w:rStyle w:val="Hyperlink"/>
            <w:iCs/>
            <w:smallCaps/>
            <w:noProof/>
          </w:rPr>
          <w:t>1.</w:t>
        </w:r>
        <w:r w:rsidR="00176323">
          <w:rPr>
            <w:rFonts w:eastAsiaTheme="minorEastAsia" w:cstheme="minorBidi"/>
            <w:b w:val="0"/>
            <w:bCs w:val="0"/>
            <w:noProof/>
            <w:kern w:val="2"/>
            <w:sz w:val="24"/>
            <w:lang w:val="en-US"/>
            <w14:ligatures w14:val="standardContextual"/>
          </w:rPr>
          <w:tab/>
        </w:r>
        <w:r w:rsidR="00176323" w:rsidRPr="005A5C93">
          <w:rPr>
            <w:rStyle w:val="Hyperlink"/>
            <w:iCs/>
            <w:noProof/>
          </w:rPr>
          <w:t>General laboratory information</w:t>
        </w:r>
        <w:r w:rsidR="00176323">
          <w:rPr>
            <w:noProof/>
            <w:webHidden/>
          </w:rPr>
          <w:tab/>
        </w:r>
        <w:r w:rsidR="00176323">
          <w:rPr>
            <w:noProof/>
            <w:webHidden/>
          </w:rPr>
          <w:fldChar w:fldCharType="begin"/>
        </w:r>
        <w:r w:rsidR="00176323">
          <w:rPr>
            <w:noProof/>
            <w:webHidden/>
          </w:rPr>
          <w:instrText xml:space="preserve"> PAGEREF _Toc170728127 \h </w:instrText>
        </w:r>
        <w:r w:rsidR="00176323">
          <w:rPr>
            <w:noProof/>
            <w:webHidden/>
          </w:rPr>
        </w:r>
        <w:r w:rsidR="00176323">
          <w:rPr>
            <w:noProof/>
            <w:webHidden/>
          </w:rPr>
          <w:fldChar w:fldCharType="separate"/>
        </w:r>
        <w:r w:rsidR="005D219F">
          <w:rPr>
            <w:noProof/>
            <w:webHidden/>
          </w:rPr>
          <w:t>20</w:t>
        </w:r>
        <w:r w:rsidR="00176323">
          <w:rPr>
            <w:noProof/>
            <w:webHidden/>
          </w:rPr>
          <w:fldChar w:fldCharType="end"/>
        </w:r>
      </w:hyperlink>
    </w:p>
    <w:p w14:paraId="295B402A" w14:textId="5D6FA999" w:rsidR="00176323" w:rsidRDefault="00000000">
      <w:pPr>
        <w:pStyle w:val="TOC2"/>
        <w:rPr>
          <w:rFonts w:eastAsiaTheme="minorEastAsia" w:cstheme="minorBidi"/>
          <w:b w:val="0"/>
          <w:bCs w:val="0"/>
          <w:noProof/>
          <w:kern w:val="2"/>
          <w:sz w:val="24"/>
          <w:lang w:val="en-US"/>
          <w14:ligatures w14:val="standardContextual"/>
        </w:rPr>
      </w:pPr>
      <w:hyperlink w:anchor="_Toc170728128" w:history="1">
        <w:r w:rsidR="00176323" w:rsidRPr="005A5C93">
          <w:rPr>
            <w:rStyle w:val="Hyperlink"/>
            <w:iCs/>
            <w:smallCaps/>
            <w:noProof/>
          </w:rPr>
          <w:t>2.</w:t>
        </w:r>
        <w:r w:rsidR="00176323">
          <w:rPr>
            <w:rFonts w:eastAsiaTheme="minorEastAsia" w:cstheme="minorBidi"/>
            <w:b w:val="0"/>
            <w:bCs w:val="0"/>
            <w:noProof/>
            <w:kern w:val="2"/>
            <w:sz w:val="24"/>
            <w:lang w:val="en-US"/>
            <w14:ligatures w14:val="standardContextual"/>
          </w:rPr>
          <w:tab/>
        </w:r>
        <w:r w:rsidR="00176323" w:rsidRPr="005A5C93">
          <w:rPr>
            <w:rStyle w:val="Hyperlink"/>
            <w:iCs/>
            <w:noProof/>
          </w:rPr>
          <w:t>Antibiotics</w:t>
        </w:r>
        <w:r w:rsidR="00176323">
          <w:rPr>
            <w:noProof/>
            <w:webHidden/>
          </w:rPr>
          <w:tab/>
        </w:r>
        <w:r w:rsidR="00176323">
          <w:rPr>
            <w:noProof/>
            <w:webHidden/>
          </w:rPr>
          <w:fldChar w:fldCharType="begin"/>
        </w:r>
        <w:r w:rsidR="00176323">
          <w:rPr>
            <w:noProof/>
            <w:webHidden/>
          </w:rPr>
          <w:instrText xml:space="preserve"> PAGEREF _Toc170728128 \h </w:instrText>
        </w:r>
        <w:r w:rsidR="00176323">
          <w:rPr>
            <w:noProof/>
            <w:webHidden/>
          </w:rPr>
        </w:r>
        <w:r w:rsidR="00176323">
          <w:rPr>
            <w:noProof/>
            <w:webHidden/>
          </w:rPr>
          <w:fldChar w:fldCharType="separate"/>
        </w:r>
        <w:r w:rsidR="005D219F">
          <w:rPr>
            <w:noProof/>
            <w:webHidden/>
          </w:rPr>
          <w:t>21</w:t>
        </w:r>
        <w:r w:rsidR="00176323">
          <w:rPr>
            <w:noProof/>
            <w:webHidden/>
          </w:rPr>
          <w:fldChar w:fldCharType="end"/>
        </w:r>
      </w:hyperlink>
    </w:p>
    <w:p w14:paraId="2CB94E3F" w14:textId="2A02DDD0" w:rsidR="00176323" w:rsidRDefault="00000000">
      <w:pPr>
        <w:pStyle w:val="TOC2"/>
        <w:rPr>
          <w:rFonts w:eastAsiaTheme="minorEastAsia" w:cstheme="minorBidi"/>
          <w:b w:val="0"/>
          <w:bCs w:val="0"/>
          <w:noProof/>
          <w:kern w:val="2"/>
          <w:sz w:val="24"/>
          <w:lang w:val="en-US"/>
          <w14:ligatures w14:val="standardContextual"/>
        </w:rPr>
      </w:pPr>
      <w:hyperlink w:anchor="_Toc170728129" w:history="1">
        <w:r w:rsidR="00176323" w:rsidRPr="005A5C93">
          <w:rPr>
            <w:rStyle w:val="Hyperlink"/>
            <w:iCs/>
            <w:noProof/>
          </w:rPr>
          <w:t>3.</w:t>
        </w:r>
        <w:r w:rsidR="00176323">
          <w:rPr>
            <w:rFonts w:eastAsiaTheme="minorEastAsia" w:cstheme="minorBidi"/>
            <w:b w:val="0"/>
            <w:bCs w:val="0"/>
            <w:noProof/>
            <w:kern w:val="2"/>
            <w:sz w:val="24"/>
            <w:lang w:val="en-US"/>
            <w14:ligatures w14:val="standardContextual"/>
          </w:rPr>
          <w:tab/>
        </w:r>
        <w:r w:rsidR="00176323" w:rsidRPr="005A5C93">
          <w:rPr>
            <w:rStyle w:val="Hyperlink"/>
            <w:noProof/>
          </w:rPr>
          <w:t>Antibiotic breakpoints</w:t>
        </w:r>
        <w:r w:rsidR="00176323">
          <w:rPr>
            <w:noProof/>
            <w:webHidden/>
          </w:rPr>
          <w:tab/>
        </w:r>
        <w:r w:rsidR="00176323">
          <w:rPr>
            <w:noProof/>
            <w:webHidden/>
          </w:rPr>
          <w:fldChar w:fldCharType="begin"/>
        </w:r>
        <w:r w:rsidR="00176323">
          <w:rPr>
            <w:noProof/>
            <w:webHidden/>
          </w:rPr>
          <w:instrText xml:space="preserve"> PAGEREF _Toc170728129 \h </w:instrText>
        </w:r>
        <w:r w:rsidR="00176323">
          <w:rPr>
            <w:noProof/>
            <w:webHidden/>
          </w:rPr>
        </w:r>
        <w:r w:rsidR="00176323">
          <w:rPr>
            <w:noProof/>
            <w:webHidden/>
          </w:rPr>
          <w:fldChar w:fldCharType="separate"/>
        </w:r>
        <w:r w:rsidR="005D219F">
          <w:rPr>
            <w:noProof/>
            <w:webHidden/>
          </w:rPr>
          <w:t>22</w:t>
        </w:r>
        <w:r w:rsidR="00176323">
          <w:rPr>
            <w:noProof/>
            <w:webHidden/>
          </w:rPr>
          <w:fldChar w:fldCharType="end"/>
        </w:r>
      </w:hyperlink>
    </w:p>
    <w:p w14:paraId="5BFB8932" w14:textId="7DC24849" w:rsidR="00176323" w:rsidRDefault="00000000">
      <w:pPr>
        <w:pStyle w:val="TOC2"/>
        <w:rPr>
          <w:rFonts w:eastAsiaTheme="minorEastAsia" w:cstheme="minorBidi"/>
          <w:b w:val="0"/>
          <w:bCs w:val="0"/>
          <w:noProof/>
          <w:kern w:val="2"/>
          <w:sz w:val="24"/>
          <w:lang w:val="en-US"/>
          <w14:ligatures w14:val="standardContextual"/>
        </w:rPr>
      </w:pPr>
      <w:hyperlink w:anchor="_Toc170728130" w:history="1">
        <w:r w:rsidR="00176323" w:rsidRPr="005A5C93">
          <w:rPr>
            <w:rStyle w:val="Hyperlink"/>
            <w:iCs/>
            <w:noProof/>
          </w:rPr>
          <w:t>4.</w:t>
        </w:r>
        <w:r w:rsidR="00176323">
          <w:rPr>
            <w:rFonts w:eastAsiaTheme="minorEastAsia" w:cstheme="minorBidi"/>
            <w:b w:val="0"/>
            <w:bCs w:val="0"/>
            <w:noProof/>
            <w:kern w:val="2"/>
            <w:sz w:val="24"/>
            <w:lang w:val="en-US"/>
            <w14:ligatures w14:val="standardContextual"/>
          </w:rPr>
          <w:tab/>
        </w:r>
        <w:r w:rsidR="00176323" w:rsidRPr="005A5C93">
          <w:rPr>
            <w:rStyle w:val="Hyperlink"/>
            <w:noProof/>
          </w:rPr>
          <w:t>Locations</w:t>
        </w:r>
        <w:r w:rsidR="00176323">
          <w:rPr>
            <w:noProof/>
            <w:webHidden/>
          </w:rPr>
          <w:tab/>
        </w:r>
        <w:r w:rsidR="00176323">
          <w:rPr>
            <w:noProof/>
            <w:webHidden/>
          </w:rPr>
          <w:fldChar w:fldCharType="begin"/>
        </w:r>
        <w:r w:rsidR="00176323">
          <w:rPr>
            <w:noProof/>
            <w:webHidden/>
          </w:rPr>
          <w:instrText xml:space="preserve"> PAGEREF _Toc170728130 \h </w:instrText>
        </w:r>
        <w:r w:rsidR="00176323">
          <w:rPr>
            <w:noProof/>
            <w:webHidden/>
          </w:rPr>
        </w:r>
        <w:r w:rsidR="00176323">
          <w:rPr>
            <w:noProof/>
            <w:webHidden/>
          </w:rPr>
          <w:fldChar w:fldCharType="separate"/>
        </w:r>
        <w:r w:rsidR="005D219F">
          <w:rPr>
            <w:noProof/>
            <w:webHidden/>
          </w:rPr>
          <w:t>24</w:t>
        </w:r>
        <w:r w:rsidR="00176323">
          <w:rPr>
            <w:noProof/>
            <w:webHidden/>
          </w:rPr>
          <w:fldChar w:fldCharType="end"/>
        </w:r>
      </w:hyperlink>
    </w:p>
    <w:p w14:paraId="5BCB39D9" w14:textId="66C290A4" w:rsidR="00176323" w:rsidRDefault="00000000">
      <w:pPr>
        <w:pStyle w:val="TOC2"/>
        <w:rPr>
          <w:rFonts w:eastAsiaTheme="minorEastAsia" w:cstheme="minorBidi"/>
          <w:b w:val="0"/>
          <w:bCs w:val="0"/>
          <w:noProof/>
          <w:kern w:val="2"/>
          <w:sz w:val="24"/>
          <w:lang w:val="en-US"/>
          <w14:ligatures w14:val="standardContextual"/>
        </w:rPr>
      </w:pPr>
      <w:hyperlink w:anchor="_Toc170728131" w:history="1">
        <w:r w:rsidR="00176323" w:rsidRPr="005A5C93">
          <w:rPr>
            <w:rStyle w:val="Hyperlink"/>
            <w:iCs/>
            <w:noProof/>
          </w:rPr>
          <w:t>5.</w:t>
        </w:r>
        <w:r w:rsidR="00176323">
          <w:rPr>
            <w:rFonts w:eastAsiaTheme="minorEastAsia" w:cstheme="minorBidi"/>
            <w:b w:val="0"/>
            <w:bCs w:val="0"/>
            <w:noProof/>
            <w:kern w:val="2"/>
            <w:sz w:val="24"/>
            <w:lang w:val="en-US"/>
            <w14:ligatures w14:val="standardContextual"/>
          </w:rPr>
          <w:tab/>
        </w:r>
        <w:r w:rsidR="00176323" w:rsidRPr="005A5C93">
          <w:rPr>
            <w:rStyle w:val="Hyperlink"/>
            <w:noProof/>
          </w:rPr>
          <w:t>Modifying data field configuration</w:t>
        </w:r>
        <w:r w:rsidR="00176323">
          <w:rPr>
            <w:noProof/>
            <w:webHidden/>
          </w:rPr>
          <w:tab/>
        </w:r>
        <w:r w:rsidR="00176323">
          <w:rPr>
            <w:noProof/>
            <w:webHidden/>
          </w:rPr>
          <w:fldChar w:fldCharType="begin"/>
        </w:r>
        <w:r w:rsidR="00176323">
          <w:rPr>
            <w:noProof/>
            <w:webHidden/>
          </w:rPr>
          <w:instrText xml:space="preserve"> PAGEREF _Toc170728131 \h </w:instrText>
        </w:r>
        <w:r w:rsidR="00176323">
          <w:rPr>
            <w:noProof/>
            <w:webHidden/>
          </w:rPr>
        </w:r>
        <w:r w:rsidR="00176323">
          <w:rPr>
            <w:noProof/>
            <w:webHidden/>
          </w:rPr>
          <w:fldChar w:fldCharType="separate"/>
        </w:r>
        <w:r w:rsidR="005D219F">
          <w:rPr>
            <w:noProof/>
            <w:webHidden/>
          </w:rPr>
          <w:t>24</w:t>
        </w:r>
        <w:r w:rsidR="00176323">
          <w:rPr>
            <w:noProof/>
            <w:webHidden/>
          </w:rPr>
          <w:fldChar w:fldCharType="end"/>
        </w:r>
      </w:hyperlink>
    </w:p>
    <w:p w14:paraId="1E772F3F" w14:textId="4DCD6BCE" w:rsidR="00176323" w:rsidRDefault="00000000">
      <w:pPr>
        <w:pStyle w:val="TOC1"/>
        <w:rPr>
          <w:rFonts w:eastAsiaTheme="minorEastAsia" w:cstheme="minorBidi"/>
          <w:kern w:val="2"/>
          <w:sz w:val="24"/>
          <w:szCs w:val="24"/>
          <w14:ligatures w14:val="standardContextual"/>
        </w:rPr>
      </w:pPr>
      <w:hyperlink w:anchor="_Toc170728132" w:history="1">
        <w:r w:rsidR="00176323" w:rsidRPr="005A5C93">
          <w:rPr>
            <w:rStyle w:val="Hyperlink"/>
          </w:rPr>
          <w:t xml:space="preserve">Annex 2 </w:t>
        </w:r>
        <w:r w:rsidR="00176323" w:rsidRPr="005A5C93">
          <w:rPr>
            <w:rStyle w:val="Hyperlink"/>
            <w:rFonts w:hint="eastAsia"/>
          </w:rPr>
          <w:t>–</w:t>
        </w:r>
        <w:r w:rsidR="00176323" w:rsidRPr="005A5C93">
          <w:rPr>
            <w:rStyle w:val="Hyperlink"/>
          </w:rPr>
          <w:t xml:space="preserve"> BacLink introduction</w:t>
        </w:r>
        <w:r w:rsidR="00176323">
          <w:rPr>
            <w:webHidden/>
          </w:rPr>
          <w:tab/>
        </w:r>
        <w:r w:rsidR="00176323">
          <w:rPr>
            <w:webHidden/>
          </w:rPr>
          <w:fldChar w:fldCharType="begin"/>
        </w:r>
        <w:r w:rsidR="00176323">
          <w:rPr>
            <w:webHidden/>
          </w:rPr>
          <w:instrText xml:space="preserve"> PAGEREF _Toc170728132 \h </w:instrText>
        </w:r>
        <w:r w:rsidR="00176323">
          <w:rPr>
            <w:webHidden/>
          </w:rPr>
        </w:r>
        <w:r w:rsidR="00176323">
          <w:rPr>
            <w:webHidden/>
          </w:rPr>
          <w:fldChar w:fldCharType="separate"/>
        </w:r>
        <w:r w:rsidR="005D219F">
          <w:rPr>
            <w:webHidden/>
          </w:rPr>
          <w:t>26</w:t>
        </w:r>
        <w:r w:rsidR="00176323">
          <w:rPr>
            <w:webHidden/>
          </w:rPr>
          <w:fldChar w:fldCharType="end"/>
        </w:r>
      </w:hyperlink>
    </w:p>
    <w:p w14:paraId="579BB63A" w14:textId="5D5C4F90" w:rsidR="00C21EE1" w:rsidRPr="00795FF7" w:rsidRDefault="00795FF7" w:rsidP="00795FF7">
      <w:pPr>
        <w:spacing w:before="120" w:after="120" w:line="276" w:lineRule="auto"/>
        <w:rPr>
          <w:rFonts w:asciiTheme="minorHAnsi" w:hAnsiTheme="minorHAnsi" w:cstheme="minorHAnsi"/>
          <w:b/>
          <w:sz w:val="24"/>
        </w:rPr>
      </w:pPr>
      <w:r w:rsidRPr="00814E53">
        <w:rPr>
          <w:rFonts w:asciiTheme="minorHAnsi" w:hAnsiTheme="minorHAnsi" w:cstheme="minorHAnsi"/>
          <w:bCs/>
          <w:sz w:val="22"/>
          <w:szCs w:val="22"/>
        </w:rPr>
        <w:fldChar w:fldCharType="end"/>
      </w:r>
      <w:r w:rsidR="00C21EE1" w:rsidRPr="00795FF7">
        <w:rPr>
          <w:rFonts w:asciiTheme="minorHAnsi" w:hAnsiTheme="minorHAnsi" w:cstheme="minorHAnsi"/>
          <w:b/>
          <w:sz w:val="24"/>
        </w:rPr>
        <w:br w:type="page"/>
      </w:r>
    </w:p>
    <w:p w14:paraId="0BAAC473" w14:textId="77777777" w:rsidR="00E40FCC" w:rsidRDefault="00E40FCC" w:rsidP="00E40FCC">
      <w:pPr>
        <w:spacing w:line="480" w:lineRule="auto"/>
        <w:jc w:val="both"/>
        <w:rPr>
          <w:rFonts w:ascii="Arial" w:hAnsi="Arial"/>
          <w:caps/>
          <w:sz w:val="24"/>
        </w:rPr>
        <w:sectPr w:rsidR="00E40FCC" w:rsidSect="00B55E28">
          <w:footerReference w:type="default" r:id="rId8"/>
          <w:pgSz w:w="11907" w:h="16840" w:code="9"/>
          <w:pgMar w:top="1440" w:right="1440" w:bottom="1440" w:left="1440" w:header="708" w:footer="708" w:gutter="0"/>
          <w:cols w:space="284"/>
          <w:docGrid w:linePitch="272"/>
        </w:sectPr>
      </w:pPr>
    </w:p>
    <w:p w14:paraId="313F24D4" w14:textId="77777777" w:rsidR="00C21EE1" w:rsidRPr="00E16471" w:rsidRDefault="00C21EE1" w:rsidP="00D55252">
      <w:pPr>
        <w:pStyle w:val="Heading1"/>
        <w:rPr>
          <w:lang w:val="en-US"/>
        </w:rPr>
      </w:pPr>
      <w:bookmarkStart w:id="0" w:name="_Toc466271222"/>
      <w:bookmarkStart w:id="1" w:name="_Toc170728110"/>
      <w:r w:rsidRPr="00D55252">
        <w:lastRenderedPageBreak/>
        <w:t>Introduction</w:t>
      </w:r>
      <w:bookmarkEnd w:id="0"/>
      <w:bookmarkEnd w:id="1"/>
    </w:p>
    <w:p w14:paraId="5E74A391" w14:textId="6A9B232C" w:rsidR="00C21EE1" w:rsidRPr="00AC52B8" w:rsidRDefault="00C21EE1" w:rsidP="00AC52B8">
      <w:pPr>
        <w:pStyle w:val="StyleBodytextwhonetmanualarrowComplexBodyCalibri"/>
      </w:pPr>
      <w:r w:rsidRPr="008B008D">
        <w:t>This manu</w:t>
      </w:r>
      <w:r w:rsidR="008E715E" w:rsidRPr="008B008D">
        <w:t xml:space="preserve">al is written </w:t>
      </w:r>
      <w:r w:rsidR="0038024C" w:rsidRPr="008B008D">
        <w:t xml:space="preserve">primarily </w:t>
      </w:r>
      <w:r w:rsidR="008E715E" w:rsidRPr="008B008D">
        <w:t xml:space="preserve">for national </w:t>
      </w:r>
      <w:r w:rsidR="0052280C">
        <w:t>EGASP</w:t>
      </w:r>
      <w:r w:rsidRPr="008B008D">
        <w:t xml:space="preserve"> data managers. It can also be used by data managers </w:t>
      </w:r>
      <w:r w:rsidR="005642F3" w:rsidRPr="008B008D">
        <w:t>at</w:t>
      </w:r>
      <w:r w:rsidRPr="008B008D">
        <w:t xml:space="preserve"> laboratories </w:t>
      </w:r>
      <w:r w:rsidR="00905FA8" w:rsidRPr="008B008D">
        <w:t xml:space="preserve">serving surveillance sites </w:t>
      </w:r>
      <w:r w:rsidRPr="008B008D">
        <w:t>participat</w:t>
      </w:r>
      <w:r w:rsidR="005C61E1" w:rsidRPr="008B008D">
        <w:t>ing</w:t>
      </w:r>
      <w:r w:rsidRPr="008B008D">
        <w:t xml:space="preserve"> in </w:t>
      </w:r>
      <w:r w:rsidR="0052280C">
        <w:t>EGASP</w:t>
      </w:r>
      <w:r w:rsidRPr="008B008D">
        <w:t xml:space="preserve">. It describes how to use WHONET </w:t>
      </w:r>
      <w:r w:rsidR="008E715E" w:rsidRPr="008B008D">
        <w:t xml:space="preserve">in handling data for </w:t>
      </w:r>
      <w:r w:rsidR="0052280C">
        <w:t>EGASP</w:t>
      </w:r>
      <w:r w:rsidR="00E912A5" w:rsidRPr="008B008D">
        <w:t>.</w:t>
      </w:r>
      <w:r w:rsidRPr="008B008D">
        <w:t xml:space="preserve"> WHONET supports output of data to </w:t>
      </w:r>
      <w:r w:rsidR="00212A3F" w:rsidRPr="008B008D">
        <w:t xml:space="preserve">GLASS </w:t>
      </w:r>
      <w:r w:rsidRPr="008B008D">
        <w:t>exchange format</w:t>
      </w:r>
      <w:r w:rsidR="00E912A5" w:rsidRPr="008B008D">
        <w:t xml:space="preserve"> </w:t>
      </w:r>
      <w:r w:rsidR="005C61E1" w:rsidRPr="008B008D">
        <w:t>for</w:t>
      </w:r>
      <w:r w:rsidR="00E912A5" w:rsidRPr="008B008D">
        <w:t xml:space="preserve"> upload</w:t>
      </w:r>
      <w:r w:rsidR="005C61E1" w:rsidRPr="008B008D">
        <w:t>ing</w:t>
      </w:r>
      <w:r w:rsidR="00E912A5" w:rsidRPr="008B008D">
        <w:t xml:space="preserve"> to the GLASS IT platform</w:t>
      </w:r>
      <w:r w:rsidRPr="008B008D">
        <w:t>.</w:t>
      </w:r>
      <w:r w:rsidR="005E4207" w:rsidRPr="008B008D">
        <w:t xml:space="preserve"> </w:t>
      </w:r>
      <w:r w:rsidRPr="008B008D">
        <w:t>This is no</w:t>
      </w:r>
      <w:r w:rsidR="00DA5519" w:rsidRPr="008B008D">
        <w:t xml:space="preserve">t </w:t>
      </w:r>
      <w:r w:rsidR="00F258FD" w:rsidRPr="008B008D">
        <w:t>the</w:t>
      </w:r>
      <w:r w:rsidR="00DA5519" w:rsidRPr="008B008D">
        <w:t xml:space="preserve"> complete </w:t>
      </w:r>
      <w:r w:rsidR="00F258FD" w:rsidRPr="008B008D">
        <w:t xml:space="preserve">WHONET </w:t>
      </w:r>
      <w:r w:rsidR="00DA5519" w:rsidRPr="008B008D">
        <w:t xml:space="preserve">manual </w:t>
      </w:r>
      <w:r w:rsidR="001A0499" w:rsidRPr="008B008D">
        <w:t>describing</w:t>
      </w:r>
      <w:r w:rsidR="005E4207" w:rsidRPr="008B008D">
        <w:t xml:space="preserve"> all its functionalities and features.</w:t>
      </w:r>
      <w:r w:rsidR="00DA5519" w:rsidRPr="008B008D">
        <w:t xml:space="preserve"> </w:t>
      </w:r>
      <w:r w:rsidR="005E4207" w:rsidRPr="008B008D">
        <w:t>The complete WHONET manual</w:t>
      </w:r>
      <w:r w:rsidR="001C6CF7" w:rsidRPr="008B008D">
        <w:t xml:space="preserve"> (including BacLink tutorials)</w:t>
      </w:r>
      <w:r w:rsidR="005E4207" w:rsidRPr="008B008D">
        <w:t xml:space="preserve"> </w:t>
      </w:r>
      <w:r w:rsidR="00DA5519" w:rsidRPr="008B008D">
        <w:t xml:space="preserve">can be downloaded from the WHONET home page at </w:t>
      </w:r>
      <w:hyperlink r:id="rId9" w:history="1">
        <w:r w:rsidR="00DA5519" w:rsidRPr="009000BA">
          <w:rPr>
            <w:rStyle w:val="Hyperlink"/>
          </w:rPr>
          <w:t>www.whonet.org</w:t>
        </w:r>
      </w:hyperlink>
      <w:r w:rsidR="00DA5519" w:rsidRPr="007F6AD7">
        <w:t xml:space="preserve">.  </w:t>
      </w:r>
    </w:p>
    <w:p w14:paraId="3BB3E79D" w14:textId="77777777" w:rsidR="00C21EE1" w:rsidRPr="008B008D" w:rsidRDefault="00C21EE1" w:rsidP="00AC52B8">
      <w:pPr>
        <w:pStyle w:val="StyleBodytextwhonetmanualarrowComplexBodyCalibri"/>
      </w:pPr>
      <w:r w:rsidRPr="008B008D">
        <w:t>WHONET</w:t>
      </w:r>
      <w:r w:rsidR="001B07D7" w:rsidRPr="008B008D">
        <w:t xml:space="preserve"> supports participation in GLASS</w:t>
      </w:r>
      <w:r w:rsidRPr="008B008D">
        <w:t xml:space="preserve"> </w:t>
      </w:r>
      <w:r w:rsidR="00F258FD" w:rsidRPr="008B008D">
        <w:t>as</w:t>
      </w:r>
      <w:r w:rsidRPr="008B008D">
        <w:t>:</w:t>
      </w:r>
    </w:p>
    <w:p w14:paraId="7FC94820" w14:textId="77777777" w:rsidR="00C21EE1" w:rsidRPr="008B008D" w:rsidRDefault="001132C1" w:rsidP="006B0FE9">
      <w:pPr>
        <w:pStyle w:val="Bodytextbullet"/>
        <w:rPr>
          <w:lang w:val="en-GB"/>
        </w:rPr>
      </w:pPr>
      <w:r w:rsidRPr="008B008D">
        <w:rPr>
          <w:lang w:val="en-GB"/>
        </w:rPr>
        <w:t>it</w:t>
      </w:r>
      <w:r w:rsidR="009174BD" w:rsidRPr="008B008D">
        <w:rPr>
          <w:lang w:val="en-GB"/>
        </w:rPr>
        <w:t xml:space="preserve"> is freeware, </w:t>
      </w:r>
      <w:r w:rsidRPr="008B008D">
        <w:rPr>
          <w:lang w:val="en-GB"/>
        </w:rPr>
        <w:t>down</w:t>
      </w:r>
      <w:r w:rsidR="00220B62" w:rsidRPr="008B008D">
        <w:rPr>
          <w:lang w:val="en-GB"/>
        </w:rPr>
        <w:t xml:space="preserve">loadable from </w:t>
      </w:r>
      <w:r w:rsidR="009174BD" w:rsidRPr="008B008D">
        <w:rPr>
          <w:lang w:val="en-GB"/>
        </w:rPr>
        <w:t xml:space="preserve">the WHONET Home Page, </w:t>
      </w:r>
      <w:hyperlink r:id="rId10" w:history="1">
        <w:r w:rsidR="00220B62" w:rsidRPr="008B008D">
          <w:rPr>
            <w:rStyle w:val="Hyperlink"/>
            <w:rFonts w:cstheme="minorHAnsi"/>
            <w:lang w:val="en-GB"/>
          </w:rPr>
          <w:t>www.whonet.org</w:t>
        </w:r>
      </w:hyperlink>
      <w:r w:rsidR="005C61E1" w:rsidRPr="008B008D">
        <w:rPr>
          <w:lang w:val="en-GB"/>
        </w:rPr>
        <w:t>; and</w:t>
      </w:r>
    </w:p>
    <w:p w14:paraId="67E0E883" w14:textId="01C9E1B8" w:rsidR="00C21EE1" w:rsidRPr="008B008D" w:rsidRDefault="005C61E1" w:rsidP="006B0FE9">
      <w:pPr>
        <w:pStyle w:val="Bodytextbullet"/>
        <w:rPr>
          <w:lang w:val="en-GB"/>
        </w:rPr>
      </w:pPr>
      <w:r w:rsidRPr="008B008D">
        <w:rPr>
          <w:lang w:val="en-GB"/>
        </w:rPr>
        <w:t>it</w:t>
      </w:r>
      <w:r w:rsidR="00C21EE1" w:rsidRPr="008B008D">
        <w:rPr>
          <w:lang w:val="en-GB"/>
        </w:rPr>
        <w:t xml:space="preserve"> supports output to </w:t>
      </w:r>
      <w:r w:rsidRPr="008B008D">
        <w:rPr>
          <w:lang w:val="en-GB"/>
        </w:rPr>
        <w:t xml:space="preserve">the </w:t>
      </w:r>
      <w:r w:rsidR="00ED3D97">
        <w:rPr>
          <w:lang w:val="en-GB"/>
        </w:rPr>
        <w:t>EGASP</w:t>
      </w:r>
      <w:r w:rsidR="00212A3F" w:rsidRPr="008B008D">
        <w:rPr>
          <w:lang w:val="en-GB"/>
        </w:rPr>
        <w:t xml:space="preserve"> </w:t>
      </w:r>
      <w:r w:rsidR="00C21EE1" w:rsidRPr="008B008D">
        <w:rPr>
          <w:lang w:val="en-GB"/>
        </w:rPr>
        <w:t>data exchange format.</w:t>
      </w:r>
    </w:p>
    <w:p w14:paraId="3A44D137" w14:textId="77777777" w:rsidR="00C21EE1" w:rsidRPr="008B008D" w:rsidRDefault="00220B62" w:rsidP="002D32A5">
      <w:pPr>
        <w:jc w:val="both"/>
        <w:rPr>
          <w:rFonts w:asciiTheme="minorHAnsi" w:hAnsiTheme="minorHAnsi" w:cstheme="minorHAnsi"/>
          <w:sz w:val="22"/>
          <w:szCs w:val="22"/>
          <w:lang w:val="en-GB"/>
        </w:rPr>
      </w:pPr>
      <w:r w:rsidRPr="008B008D">
        <w:rPr>
          <w:rFonts w:asciiTheme="minorHAnsi" w:hAnsiTheme="minorHAnsi" w:cstheme="minorHAnsi"/>
          <w:sz w:val="22"/>
          <w:szCs w:val="22"/>
          <w:lang w:val="en-GB"/>
        </w:rPr>
        <w:t>WHONET includes Data Check Feedback Report</w:t>
      </w:r>
      <w:r w:rsidR="006A23BB" w:rsidRPr="008B008D">
        <w:rPr>
          <w:rFonts w:asciiTheme="minorHAnsi" w:hAnsiTheme="minorHAnsi" w:cstheme="minorHAnsi"/>
          <w:sz w:val="22"/>
          <w:szCs w:val="22"/>
          <w:lang w:val="en-GB"/>
        </w:rPr>
        <w:t>s</w:t>
      </w:r>
      <w:r w:rsidR="00760601" w:rsidRPr="008B008D">
        <w:rPr>
          <w:rFonts w:asciiTheme="minorHAnsi" w:hAnsiTheme="minorHAnsi" w:cstheme="minorHAnsi"/>
          <w:sz w:val="22"/>
          <w:szCs w:val="22"/>
          <w:lang w:val="en-GB"/>
        </w:rPr>
        <w:t>, e.g.</w:t>
      </w:r>
    </w:p>
    <w:p w14:paraId="7D1B0CD5" w14:textId="77777777" w:rsidR="00C21EE1" w:rsidRPr="008B008D" w:rsidRDefault="00517FD1" w:rsidP="006B0FE9">
      <w:pPr>
        <w:pStyle w:val="Bodytextbullet"/>
        <w:rPr>
          <w:lang w:val="en-GB"/>
        </w:rPr>
      </w:pPr>
      <w:r w:rsidRPr="008B008D">
        <w:rPr>
          <w:lang w:val="en-GB"/>
        </w:rPr>
        <w:t>i</w:t>
      </w:r>
      <w:r w:rsidR="00C21EE1" w:rsidRPr="008B008D">
        <w:rPr>
          <w:lang w:val="en-GB"/>
        </w:rPr>
        <w:t xml:space="preserve">t gives </w:t>
      </w:r>
      <w:r w:rsidR="00C21EE1" w:rsidRPr="008B008D">
        <w:rPr>
          <w:b/>
          <w:lang w:val="en-GB"/>
        </w:rPr>
        <w:t>direct feedback</w:t>
      </w:r>
      <w:r w:rsidR="00C21EE1" w:rsidRPr="008B008D">
        <w:rPr>
          <w:lang w:val="en-GB"/>
        </w:rPr>
        <w:t xml:space="preserve"> on </w:t>
      </w:r>
      <w:r w:rsidR="00EB38D6" w:rsidRPr="008B008D">
        <w:rPr>
          <w:lang w:val="en-GB"/>
        </w:rPr>
        <w:t>microbiological</w:t>
      </w:r>
      <w:r w:rsidR="00C21EE1" w:rsidRPr="008B008D">
        <w:rPr>
          <w:lang w:val="en-GB"/>
        </w:rPr>
        <w:t xml:space="preserve"> aspects </w:t>
      </w:r>
      <w:r w:rsidR="006F5B86" w:rsidRPr="008B008D">
        <w:rPr>
          <w:lang w:val="en-GB"/>
        </w:rPr>
        <w:t xml:space="preserve">for </w:t>
      </w:r>
      <w:r w:rsidR="006F5B86" w:rsidRPr="008B008D">
        <w:rPr>
          <w:b/>
          <w:lang w:val="en-GB"/>
        </w:rPr>
        <w:t>the isolate level</w:t>
      </w:r>
      <w:r w:rsidR="006F5B86" w:rsidRPr="008B008D">
        <w:rPr>
          <w:lang w:val="en-GB"/>
        </w:rPr>
        <w:t xml:space="preserve"> </w:t>
      </w:r>
      <w:r w:rsidR="00C21EE1" w:rsidRPr="008B008D">
        <w:rPr>
          <w:lang w:val="en-GB"/>
        </w:rPr>
        <w:t>(</w:t>
      </w:r>
      <w:r w:rsidR="0038024C" w:rsidRPr="008B008D">
        <w:rPr>
          <w:lang w:val="en-GB"/>
        </w:rPr>
        <w:t xml:space="preserve">e. g. </w:t>
      </w:r>
      <w:r w:rsidR="00C21EE1" w:rsidRPr="008B008D">
        <w:rPr>
          <w:lang w:val="en-GB"/>
        </w:rPr>
        <w:t>alert on M</w:t>
      </w:r>
      <w:r w:rsidR="0038024C" w:rsidRPr="008B008D">
        <w:rPr>
          <w:lang w:val="en-GB"/>
        </w:rPr>
        <w:t>ethicillin</w:t>
      </w:r>
      <w:r w:rsidR="001A0499" w:rsidRPr="008B008D">
        <w:rPr>
          <w:lang w:val="en-GB"/>
        </w:rPr>
        <w:t>-r</w:t>
      </w:r>
      <w:r w:rsidR="0038024C" w:rsidRPr="008B008D">
        <w:rPr>
          <w:lang w:val="en-GB"/>
        </w:rPr>
        <w:t>esistant</w:t>
      </w:r>
      <w:r w:rsidR="00B245B5" w:rsidRPr="008B008D">
        <w:rPr>
          <w:lang w:val="en-GB"/>
        </w:rPr>
        <w:t xml:space="preserve"> </w:t>
      </w:r>
      <w:r w:rsidR="0038024C" w:rsidRPr="008B008D">
        <w:rPr>
          <w:i/>
          <w:lang w:val="en-GB"/>
        </w:rPr>
        <w:t>Staphylococcus aureus</w:t>
      </w:r>
      <w:r w:rsidR="00F258FD" w:rsidRPr="008B008D">
        <w:rPr>
          <w:lang w:val="en-GB"/>
        </w:rPr>
        <w:t>;</w:t>
      </w:r>
      <w:r w:rsidR="00C21EE1" w:rsidRPr="008B008D">
        <w:rPr>
          <w:lang w:val="en-GB"/>
        </w:rPr>
        <w:t xml:space="preserve"> </w:t>
      </w:r>
      <w:r w:rsidR="0038024C" w:rsidRPr="008B008D">
        <w:rPr>
          <w:lang w:val="en-GB"/>
        </w:rPr>
        <w:t>Penicillin</w:t>
      </w:r>
      <w:r w:rsidR="005642F3" w:rsidRPr="008B008D">
        <w:rPr>
          <w:lang w:val="en-GB"/>
        </w:rPr>
        <w:t xml:space="preserve"> </w:t>
      </w:r>
      <w:r w:rsidR="0038024C" w:rsidRPr="008B008D">
        <w:rPr>
          <w:lang w:val="en-GB"/>
        </w:rPr>
        <w:t xml:space="preserve">non-susceptible </w:t>
      </w:r>
      <w:r w:rsidR="0038024C" w:rsidRPr="008B008D">
        <w:rPr>
          <w:i/>
          <w:lang w:val="en-GB"/>
        </w:rPr>
        <w:t>Streptococcus pneumonia</w:t>
      </w:r>
      <w:r w:rsidR="00B3038F" w:rsidRPr="008B008D">
        <w:rPr>
          <w:i/>
          <w:lang w:val="en-GB"/>
        </w:rPr>
        <w:t>e</w:t>
      </w:r>
      <w:r w:rsidR="006D760F">
        <w:rPr>
          <w:lang w:val="en-GB"/>
        </w:rPr>
        <w:t xml:space="preserve"> </w:t>
      </w:r>
      <w:r w:rsidR="00C21EE1" w:rsidRPr="008B008D">
        <w:rPr>
          <w:lang w:val="en-GB"/>
        </w:rPr>
        <w:t xml:space="preserve">to </w:t>
      </w:r>
      <w:r w:rsidR="00BA6132" w:rsidRPr="008B008D">
        <w:rPr>
          <w:lang w:val="en-GB"/>
        </w:rPr>
        <w:t>allow</w:t>
      </w:r>
      <w:r w:rsidR="00C21EE1" w:rsidRPr="008B008D">
        <w:rPr>
          <w:lang w:val="en-GB"/>
        </w:rPr>
        <w:t xml:space="preserve"> possible interventions</w:t>
      </w:r>
      <w:r w:rsidR="006A23BB" w:rsidRPr="008B008D">
        <w:rPr>
          <w:lang w:val="en-GB"/>
        </w:rPr>
        <w:t xml:space="preserve"> on site</w:t>
      </w:r>
      <w:r w:rsidRPr="008B008D">
        <w:rPr>
          <w:lang w:val="en-GB"/>
        </w:rPr>
        <w:t>; and</w:t>
      </w:r>
      <w:r w:rsidR="00C21EE1" w:rsidRPr="008B008D">
        <w:rPr>
          <w:lang w:val="en-GB"/>
        </w:rPr>
        <w:t xml:space="preserve"> </w:t>
      </w:r>
    </w:p>
    <w:p w14:paraId="11C85020" w14:textId="77777777" w:rsidR="00C21EE1" w:rsidRPr="008B008D" w:rsidRDefault="00517FD1" w:rsidP="006B0FE9">
      <w:pPr>
        <w:pStyle w:val="Bodytextbullet"/>
        <w:rPr>
          <w:lang w:val="en-GB"/>
        </w:rPr>
      </w:pPr>
      <w:r w:rsidRPr="008B008D">
        <w:rPr>
          <w:lang w:val="en-GB"/>
        </w:rPr>
        <w:t>i</w:t>
      </w:r>
      <w:r w:rsidR="00C21EE1" w:rsidRPr="008B008D">
        <w:rPr>
          <w:lang w:val="en-GB"/>
        </w:rPr>
        <w:t>t</w:t>
      </w:r>
      <w:r w:rsidR="00C21EE1" w:rsidRPr="008B008D">
        <w:rPr>
          <w:b/>
          <w:lang w:val="en-GB"/>
        </w:rPr>
        <w:t xml:space="preserve"> checks </w:t>
      </w:r>
      <w:r w:rsidR="00B3038F" w:rsidRPr="008B008D">
        <w:rPr>
          <w:b/>
          <w:lang w:val="en-GB"/>
        </w:rPr>
        <w:t xml:space="preserve">GLASS </w:t>
      </w:r>
      <w:r w:rsidR="006F5B86" w:rsidRPr="008B008D">
        <w:rPr>
          <w:b/>
          <w:lang w:val="en-GB"/>
        </w:rPr>
        <w:t xml:space="preserve">aggregated data </w:t>
      </w:r>
      <w:r w:rsidR="00C21EE1" w:rsidRPr="008B008D">
        <w:rPr>
          <w:b/>
          <w:lang w:val="en-GB"/>
        </w:rPr>
        <w:t>validity</w:t>
      </w:r>
      <w:r w:rsidR="00C21EE1" w:rsidRPr="008B008D">
        <w:rPr>
          <w:lang w:val="en-GB"/>
        </w:rPr>
        <w:t xml:space="preserve"> and </w:t>
      </w:r>
      <w:r w:rsidR="00C21EE1" w:rsidRPr="008B008D">
        <w:rPr>
          <w:b/>
          <w:lang w:val="en-GB"/>
        </w:rPr>
        <w:t>completeness</w:t>
      </w:r>
      <w:r w:rsidR="00C21EE1" w:rsidRPr="008B008D">
        <w:rPr>
          <w:lang w:val="en-GB"/>
        </w:rPr>
        <w:t xml:space="preserve">, producing </w:t>
      </w:r>
      <w:r w:rsidR="006A23BB" w:rsidRPr="008B008D">
        <w:rPr>
          <w:lang w:val="en-GB"/>
        </w:rPr>
        <w:t>feedback</w:t>
      </w:r>
      <w:r w:rsidR="00C21EE1" w:rsidRPr="008B008D">
        <w:rPr>
          <w:lang w:val="en-GB"/>
        </w:rPr>
        <w:t xml:space="preserve"> report</w:t>
      </w:r>
      <w:r w:rsidR="006A23BB" w:rsidRPr="008B008D">
        <w:rPr>
          <w:lang w:val="en-GB"/>
        </w:rPr>
        <w:t>s</w:t>
      </w:r>
      <w:r w:rsidR="00C21EE1" w:rsidRPr="008B008D">
        <w:rPr>
          <w:lang w:val="en-GB"/>
        </w:rPr>
        <w:t xml:space="preserve"> indicating if it is necessary to correct data or make them complete</w:t>
      </w:r>
      <w:r w:rsidR="00B3038F" w:rsidRPr="008B008D">
        <w:rPr>
          <w:lang w:val="en-GB"/>
        </w:rPr>
        <w:t xml:space="preserve"> before uploading to the GLASS IT platform</w:t>
      </w:r>
      <w:r w:rsidR="00C21EE1" w:rsidRPr="008B008D">
        <w:rPr>
          <w:lang w:val="en-GB"/>
        </w:rPr>
        <w:t xml:space="preserve">. </w:t>
      </w:r>
    </w:p>
    <w:p w14:paraId="4CB6A222" w14:textId="77777777" w:rsidR="00D113E8" w:rsidRPr="008B008D" w:rsidRDefault="00B968B7" w:rsidP="00071C37">
      <w:pPr>
        <w:pStyle w:val="BodyText"/>
      </w:pPr>
      <w:r w:rsidRPr="008B008D">
        <w:t xml:space="preserve">Section </w:t>
      </w:r>
      <w:r w:rsidR="0016395D" w:rsidRPr="008B008D">
        <w:t>2</w:t>
      </w:r>
      <w:r w:rsidR="00F258FD" w:rsidRPr="008B008D">
        <w:t>:</w:t>
      </w:r>
      <w:r w:rsidRPr="008B008D">
        <w:t xml:space="preserve"> “Installing WHONET” is intended </w:t>
      </w:r>
      <w:r w:rsidRPr="00AC52B8">
        <w:t>for</w:t>
      </w:r>
      <w:r w:rsidRPr="008B008D">
        <w:t xml:space="preserve"> national </w:t>
      </w:r>
      <w:r w:rsidR="00B3038F" w:rsidRPr="008B008D">
        <w:t xml:space="preserve">and local </w:t>
      </w:r>
      <w:r w:rsidRPr="008B008D">
        <w:t>users of the WHONET</w:t>
      </w:r>
      <w:r w:rsidR="00D113E8" w:rsidRPr="008B008D">
        <w:t xml:space="preserve"> software.</w:t>
      </w:r>
    </w:p>
    <w:p w14:paraId="1576C945" w14:textId="77777777" w:rsidR="00723FE9" w:rsidRPr="008B008D" w:rsidRDefault="00B968B7" w:rsidP="00071C37">
      <w:pPr>
        <w:pStyle w:val="BodyText"/>
      </w:pPr>
      <w:r w:rsidRPr="008B008D">
        <w:t>Section 3</w:t>
      </w:r>
      <w:r w:rsidR="00F258FD" w:rsidRPr="008B008D">
        <w:t>:</w:t>
      </w:r>
      <w:r w:rsidRPr="008B008D">
        <w:t xml:space="preserve"> “Laboratory configuration” and Section 4</w:t>
      </w:r>
      <w:r w:rsidR="00F258FD" w:rsidRPr="008B008D">
        <w:t>:</w:t>
      </w:r>
      <w:r w:rsidR="00517FD1" w:rsidRPr="008B008D">
        <w:t xml:space="preserve"> “WHONET d</w:t>
      </w:r>
      <w:r w:rsidRPr="008B008D">
        <w:t xml:space="preserve">ata entry for GLASS” </w:t>
      </w:r>
      <w:r w:rsidR="00A509FA" w:rsidRPr="008B008D">
        <w:t>are</w:t>
      </w:r>
      <w:r w:rsidRPr="008B008D">
        <w:t xml:space="preserve"> intended for </w:t>
      </w:r>
      <w:r w:rsidR="00B3038F" w:rsidRPr="008B008D">
        <w:t xml:space="preserve">users </w:t>
      </w:r>
      <w:r w:rsidRPr="008B008D">
        <w:t xml:space="preserve">who will enter data into WHONET. Data entry can be accomplished </w:t>
      </w:r>
      <w:r w:rsidR="00B3038F" w:rsidRPr="008B008D">
        <w:t xml:space="preserve">at the national level by technical </w:t>
      </w:r>
      <w:r w:rsidR="00517FD1" w:rsidRPr="008B008D">
        <w:t>staff of the network coordinating institution who receives</w:t>
      </w:r>
      <w:r w:rsidR="00B3038F" w:rsidRPr="008B008D">
        <w:t xml:space="preserve"> data </w:t>
      </w:r>
      <w:r w:rsidR="00517FD1" w:rsidRPr="008B008D">
        <w:t>submitted on</w:t>
      </w:r>
      <w:r w:rsidR="00B3038F" w:rsidRPr="008B008D">
        <w:t xml:space="preserve"> </w:t>
      </w:r>
      <w:r w:rsidR="00517FD1" w:rsidRPr="008B008D">
        <w:t xml:space="preserve">paper </w:t>
      </w:r>
      <w:r w:rsidR="00B3038F" w:rsidRPr="008B008D">
        <w:t xml:space="preserve">forms from participating facilities. In the case of data entry into WHONET </w:t>
      </w:r>
      <w:r w:rsidRPr="008B008D">
        <w:t xml:space="preserve">at the level of </w:t>
      </w:r>
      <w:r w:rsidR="00EE5D64" w:rsidRPr="008B008D">
        <w:t xml:space="preserve">participating </w:t>
      </w:r>
      <w:r w:rsidRPr="008B008D">
        <w:t>facilities</w:t>
      </w:r>
      <w:r w:rsidR="005C61E1" w:rsidRPr="008B008D">
        <w:t>,</w:t>
      </w:r>
      <w:r w:rsidR="00B3038F" w:rsidRPr="008B008D">
        <w:t xml:space="preserve"> electronic </w:t>
      </w:r>
      <w:r w:rsidR="006F5B86" w:rsidRPr="008B008D">
        <w:t xml:space="preserve">WHONET </w:t>
      </w:r>
      <w:r w:rsidR="00B3038F" w:rsidRPr="008B008D">
        <w:t xml:space="preserve">data files </w:t>
      </w:r>
      <w:r w:rsidR="00B51FB1" w:rsidRPr="008B008D">
        <w:t>are sent</w:t>
      </w:r>
      <w:r w:rsidR="00B3038F" w:rsidRPr="008B008D">
        <w:t xml:space="preserve"> </w:t>
      </w:r>
      <w:r w:rsidR="006F5B86" w:rsidRPr="008B008D">
        <w:t xml:space="preserve">to the </w:t>
      </w:r>
      <w:r w:rsidR="00B3038F" w:rsidRPr="008B008D">
        <w:t>national level</w:t>
      </w:r>
      <w:r w:rsidR="00B51FB1" w:rsidRPr="008B008D">
        <w:t xml:space="preserve">; at the national level WHONET data files from different facilities are combined and aggregated to the GLASS </w:t>
      </w:r>
      <w:r w:rsidR="000D4A20" w:rsidRPr="008B008D">
        <w:t>exchange</w:t>
      </w:r>
      <w:r w:rsidR="00B51FB1" w:rsidRPr="008B008D">
        <w:t xml:space="preserve"> format</w:t>
      </w:r>
      <w:r w:rsidR="006F5B86" w:rsidRPr="008B008D">
        <w:t>.</w:t>
      </w:r>
      <w:r w:rsidRPr="008B008D">
        <w:t xml:space="preserve"> </w:t>
      </w:r>
    </w:p>
    <w:p w14:paraId="09142A85" w14:textId="67B3B1D3" w:rsidR="00B828E3" w:rsidRPr="008B008D" w:rsidRDefault="00723FE9" w:rsidP="00071C37">
      <w:pPr>
        <w:pStyle w:val="Bodytextarrow"/>
        <w:numPr>
          <w:ilvl w:val="0"/>
          <w:numId w:val="0"/>
        </w:numPr>
        <w:ind w:left="709" w:hanging="680"/>
      </w:pPr>
      <w:r w:rsidRPr="008B008D">
        <w:t>Note:</w:t>
      </w:r>
      <w:r w:rsidR="00F57874" w:rsidRPr="008B008D">
        <w:t xml:space="preserve"> </w:t>
      </w:r>
      <w:r w:rsidR="008B008D">
        <w:tab/>
      </w:r>
      <w:r w:rsidR="005C61E1" w:rsidRPr="008B008D">
        <w:t>I</w:t>
      </w:r>
      <w:r w:rsidR="00F57874" w:rsidRPr="008B008D">
        <w:t xml:space="preserve">f </w:t>
      </w:r>
      <w:r w:rsidRPr="008B008D">
        <w:t>participating facilities already have laboratory information</w:t>
      </w:r>
      <w:r w:rsidR="00F57874" w:rsidRPr="008B008D">
        <w:t xml:space="preserve"> systems or susceptibility test </w:t>
      </w:r>
      <w:r w:rsidRPr="008B008D">
        <w:t>instruments</w:t>
      </w:r>
      <w:r w:rsidR="00DC5C21" w:rsidRPr="008B008D">
        <w:t xml:space="preserve"> with the desired surveillance data, </w:t>
      </w:r>
      <w:r w:rsidRPr="008B008D">
        <w:t xml:space="preserve">it is </w:t>
      </w:r>
      <w:r w:rsidR="000719E5" w:rsidRPr="008B008D">
        <w:t xml:space="preserve">usually </w:t>
      </w:r>
      <w:r w:rsidRPr="008B008D">
        <w:t xml:space="preserve">possible to avoid manual data entry </w:t>
      </w:r>
      <w:r w:rsidR="00995CFB" w:rsidRPr="008B008D">
        <w:t>using</w:t>
      </w:r>
      <w:r w:rsidRPr="008B008D">
        <w:t xml:space="preserve"> BacLink – WHONET’s data import module – to capture and standardize data from existing information resources.  </w:t>
      </w:r>
      <w:r w:rsidR="001C6CF7" w:rsidRPr="008B008D">
        <w:t>F</w:t>
      </w:r>
      <w:r w:rsidR="00A656DF" w:rsidRPr="008B008D">
        <w:t>urther information about BacLink</w:t>
      </w:r>
      <w:r w:rsidR="00E918FC" w:rsidRPr="008B008D">
        <w:t xml:space="preserve"> is provided as an</w:t>
      </w:r>
      <w:r w:rsidR="00CE490F" w:rsidRPr="008B008D">
        <w:t xml:space="preserve"> Annex in this manual and can also be found</w:t>
      </w:r>
      <w:r w:rsidR="00E918FC" w:rsidRPr="008B008D">
        <w:t xml:space="preserve"> in the BacLink tutorial </w:t>
      </w:r>
      <w:r w:rsidR="00A656DF" w:rsidRPr="008B008D">
        <w:rPr>
          <w:i/>
        </w:rPr>
        <w:t>BacLink 1 – Getting started</w:t>
      </w:r>
      <w:r w:rsidR="00517FD1" w:rsidRPr="008B008D">
        <w:t xml:space="preserve"> which is </w:t>
      </w:r>
      <w:r w:rsidR="00F57874" w:rsidRPr="008B008D">
        <w:t>available</w:t>
      </w:r>
      <w:r w:rsidR="00517FD1" w:rsidRPr="008B008D">
        <w:t xml:space="preserve"> from http://www.whonet.org/documentation.html</w:t>
      </w:r>
      <w:r w:rsidR="00A656DF" w:rsidRPr="008B008D">
        <w:t>.</w:t>
      </w:r>
      <w:r w:rsidR="00703567" w:rsidRPr="008B008D">
        <w:t xml:space="preserve"> </w:t>
      </w:r>
    </w:p>
    <w:p w14:paraId="65AFEA9C" w14:textId="77777777" w:rsidR="00C21EE1" w:rsidRPr="008B008D" w:rsidRDefault="008D7DCE" w:rsidP="00071C37">
      <w:pPr>
        <w:pStyle w:val="BodyText"/>
      </w:pPr>
      <w:r w:rsidRPr="008B008D">
        <w:t xml:space="preserve">Sections 5 through 8 are intended for use by national surveillance </w:t>
      </w:r>
      <w:r w:rsidR="00F57874" w:rsidRPr="008B008D">
        <w:t>system</w:t>
      </w:r>
      <w:r w:rsidRPr="008B008D">
        <w:t xml:space="preserve"> coordinators responsible for collation, analysis, validation and submission of surveillance data</w:t>
      </w:r>
      <w:r w:rsidR="006F5B86" w:rsidRPr="008B008D">
        <w:t xml:space="preserve"> to the GLASS IT platform</w:t>
      </w:r>
      <w:r w:rsidRPr="008B008D">
        <w:t>.</w:t>
      </w:r>
    </w:p>
    <w:p w14:paraId="28C848A7" w14:textId="77777777" w:rsidR="00D55252" w:rsidRDefault="00C21EE1" w:rsidP="00071C37">
      <w:pPr>
        <w:pStyle w:val="BodyText"/>
        <w:rPr>
          <w:lang w:val="en-GB"/>
        </w:rPr>
      </w:pPr>
      <w:r w:rsidRPr="000527AB">
        <w:rPr>
          <w:lang w:val="en-GB"/>
        </w:rPr>
        <w:t>For comments and questions</w:t>
      </w:r>
      <w:r w:rsidR="009167AE" w:rsidRPr="000527AB">
        <w:rPr>
          <w:lang w:val="en-GB"/>
        </w:rPr>
        <w:t xml:space="preserve"> on WHONET use</w:t>
      </w:r>
      <w:r w:rsidR="00B12773" w:rsidRPr="000527AB">
        <w:rPr>
          <w:lang w:val="en-GB"/>
        </w:rPr>
        <w:t xml:space="preserve">, please </w:t>
      </w:r>
      <w:r w:rsidR="00A3103B" w:rsidRPr="000527AB">
        <w:rPr>
          <w:lang w:val="en-GB"/>
        </w:rPr>
        <w:t xml:space="preserve">write to </w:t>
      </w:r>
      <w:hyperlink r:id="rId11" w:history="1">
        <w:r w:rsidR="00A3103B" w:rsidRPr="001C6CF7">
          <w:rPr>
            <w:lang w:val="en-GB"/>
          </w:rPr>
          <w:t>help@whonet.org</w:t>
        </w:r>
      </w:hyperlink>
      <w:r w:rsidR="00A3103B" w:rsidRPr="000527AB">
        <w:rPr>
          <w:lang w:val="en-GB"/>
        </w:rPr>
        <w:t xml:space="preserve">.  </w:t>
      </w:r>
    </w:p>
    <w:p w14:paraId="2697EA50" w14:textId="77777777" w:rsidR="00D55252" w:rsidRDefault="00D55252" w:rsidP="00D55252">
      <w:pPr>
        <w:rPr>
          <w:rFonts w:asciiTheme="minorHAnsi" w:hAnsiTheme="minorHAnsi" w:cs="Arial"/>
          <w:sz w:val="22"/>
          <w:szCs w:val="22"/>
          <w:lang w:val="en-GB"/>
        </w:rPr>
      </w:pPr>
      <w:r>
        <w:rPr>
          <w:lang w:val="en-GB"/>
        </w:rPr>
        <w:br w:type="page"/>
      </w:r>
    </w:p>
    <w:p w14:paraId="2D04C905" w14:textId="77777777" w:rsidR="00C21EE1" w:rsidRDefault="00C21EE1" w:rsidP="00D55252">
      <w:pPr>
        <w:pStyle w:val="Heading1"/>
      </w:pPr>
      <w:bookmarkStart w:id="2" w:name="_Toc466271223"/>
      <w:bookmarkStart w:id="3" w:name="_Toc170728111"/>
      <w:r w:rsidRPr="00071C37">
        <w:lastRenderedPageBreak/>
        <w:t>Installing</w:t>
      </w:r>
      <w:r>
        <w:t xml:space="preserve"> </w:t>
      </w:r>
      <w:r w:rsidR="006538E3">
        <w:t>WHONET</w:t>
      </w:r>
      <w:bookmarkEnd w:id="2"/>
      <w:bookmarkEnd w:id="3"/>
    </w:p>
    <w:p w14:paraId="2BA08302" w14:textId="2CAD4359" w:rsidR="00E5025A" w:rsidRDefault="00C21EE1" w:rsidP="00071C37">
      <w:pPr>
        <w:pStyle w:val="BodyText"/>
      </w:pPr>
      <w:r w:rsidRPr="001132C1">
        <w:t xml:space="preserve">The software is available from </w:t>
      </w:r>
      <w:r w:rsidR="00C471A1">
        <w:t xml:space="preserve">the WHONET </w:t>
      </w:r>
      <w:r w:rsidR="00C471A1" w:rsidRPr="00DF526D">
        <w:t xml:space="preserve">Home Page at </w:t>
      </w:r>
      <w:hyperlink r:id="rId12" w:history="1">
        <w:r w:rsidR="00AC3FDA">
          <w:rPr>
            <w:rStyle w:val="Hyperlink"/>
          </w:rPr>
          <w:t>WHONET.org</w:t>
        </w:r>
      </w:hyperlink>
      <w:r w:rsidR="00F74F2C" w:rsidRPr="00DF526D">
        <w:t>.</w:t>
      </w:r>
      <w:r w:rsidR="007F2252">
        <w:t xml:space="preserve"> </w:t>
      </w:r>
      <w:r w:rsidR="00F74F2C">
        <w:t>C</w:t>
      </w:r>
      <w:r w:rsidR="007F2252">
        <w:t xml:space="preserve">lick on </w:t>
      </w:r>
      <w:r w:rsidR="008717AB">
        <w:t>“</w:t>
      </w:r>
      <w:r w:rsidR="007F2252">
        <w:t>Software</w:t>
      </w:r>
      <w:r w:rsidR="00AC4975">
        <w:t>” and download WHONET 20</w:t>
      </w:r>
      <w:r w:rsidR="00AC3FDA">
        <w:t>2</w:t>
      </w:r>
      <w:r w:rsidR="005A63B6">
        <w:t>4</w:t>
      </w:r>
      <w:r w:rsidR="002922EE">
        <w:t xml:space="preserve"> (Desktop version)</w:t>
      </w:r>
      <w:r w:rsidR="00AC3FDA">
        <w:t>, or the most recent version available</w:t>
      </w:r>
      <w:r w:rsidR="00AC4975">
        <w:t>.</w:t>
      </w:r>
    </w:p>
    <w:p w14:paraId="47CEB46D" w14:textId="33E6B9B1" w:rsidR="00AF240C" w:rsidRDefault="001132C1" w:rsidP="00071C37">
      <w:pPr>
        <w:pStyle w:val="BodyText"/>
      </w:pPr>
      <w:r>
        <w:t>WH</w:t>
      </w:r>
      <w:r w:rsidR="00A9328B">
        <w:t>ONET</w:t>
      </w:r>
      <w:r>
        <w:t xml:space="preserve"> </w:t>
      </w:r>
      <w:r w:rsidR="005C61E1">
        <w:t>require</w:t>
      </w:r>
      <w:r>
        <w:t>s a computer running Microsoft Windows</w:t>
      </w:r>
      <w:r w:rsidR="00A9328B">
        <w:t xml:space="preserve"> versions </w:t>
      </w:r>
      <w:r w:rsidR="005A63B6">
        <w:t>8.1</w:t>
      </w:r>
      <w:r w:rsidR="00F14525">
        <w:t xml:space="preserve"> </w:t>
      </w:r>
      <w:r w:rsidR="008717AB">
        <w:t>or later</w:t>
      </w:r>
      <w:r w:rsidR="00F060E3">
        <w:t>, and also requires that Windows .NET version 4.</w:t>
      </w:r>
      <w:r w:rsidR="00FD60A8">
        <w:t>8</w:t>
      </w:r>
      <w:r w:rsidR="00F060E3">
        <w:t xml:space="preserve"> is installed</w:t>
      </w:r>
      <w:r w:rsidR="00A9328B">
        <w:t>.</w:t>
      </w:r>
      <w:r>
        <w:t xml:space="preserve"> </w:t>
      </w:r>
      <w:r w:rsidR="00222953">
        <w:t>After downloading the software, doub</w:t>
      </w:r>
      <w:r w:rsidR="00CE490F">
        <w:t>le-click on the downloaded file</w:t>
      </w:r>
      <w:r w:rsidR="00222953">
        <w:t xml:space="preserve"> and follow the instructions on the screen (“Run”, “OK”, </w:t>
      </w:r>
      <w:r w:rsidR="00222953" w:rsidRPr="00E30ADD">
        <w:t>etc.</w:t>
      </w:r>
      <w:r w:rsidR="00222953">
        <w:t xml:space="preserve">).  </w:t>
      </w:r>
      <w:r w:rsidR="00E57CEC">
        <w:t xml:space="preserve">If you receive a message about “insufficient administrative rights” to install the software, you will need to contact your facility’s system administrator to install the software for you or to </w:t>
      </w:r>
      <w:r w:rsidR="009E5E35">
        <w:t>grant</w:t>
      </w:r>
      <w:r w:rsidR="00E57CEC">
        <w:t xml:space="preserve"> you the </w:t>
      </w:r>
      <w:r w:rsidR="009E5E35">
        <w:t>necessary</w:t>
      </w:r>
      <w:r w:rsidR="00E57CEC">
        <w:t xml:space="preserve"> local administration rights</w:t>
      </w:r>
      <w:r w:rsidR="009E5E35">
        <w:t xml:space="preserve"> temporarily</w:t>
      </w:r>
      <w:r w:rsidR="00C60A0A">
        <w:t>.</w:t>
      </w:r>
    </w:p>
    <w:p w14:paraId="5FEC8520" w14:textId="77777777" w:rsidR="00AF240C" w:rsidRDefault="00AF240C" w:rsidP="00071C37">
      <w:pPr>
        <w:pStyle w:val="BodyText"/>
      </w:pPr>
      <w:r>
        <w:t xml:space="preserve">The default location </w:t>
      </w:r>
      <w:r w:rsidR="0085130D">
        <w:t>for the WHONET installation is C</w:t>
      </w:r>
      <w:r w:rsidR="00D55D40">
        <w:t>:\WHONET</w:t>
      </w:r>
      <w:r w:rsidR="008A1B27">
        <w:t>\</w:t>
      </w:r>
      <w:r>
        <w:t>.  You may change this as you wish.  For example, if you would like to use WHONET on a network drive to permit shared use by multiple staff members</w:t>
      </w:r>
      <w:r w:rsidR="00CE490F">
        <w:t>,</w:t>
      </w:r>
      <w:r>
        <w:t xml:space="preserve"> you can install the software to a </w:t>
      </w:r>
      <w:r w:rsidR="00EC3393">
        <w:t>common drive such as T:\WHONET</w:t>
      </w:r>
      <w:r w:rsidR="00F57874">
        <w:t>\</w:t>
      </w:r>
      <w:r>
        <w:t xml:space="preserve">.  </w:t>
      </w:r>
    </w:p>
    <w:p w14:paraId="0FBBFA10" w14:textId="77777777" w:rsidR="00494A68" w:rsidRPr="001132C1" w:rsidRDefault="00494A68" w:rsidP="00071C37">
      <w:pPr>
        <w:pStyle w:val="BodyText"/>
      </w:pPr>
      <w:r w:rsidRPr="001132C1">
        <w:t xml:space="preserve">In case you already have </w:t>
      </w:r>
      <w:r>
        <w:t xml:space="preserve">an older version </w:t>
      </w:r>
      <w:r w:rsidRPr="001132C1">
        <w:t>of WHONET</w:t>
      </w:r>
      <w:r>
        <w:t xml:space="preserve"> (prior to “WHONET 2016”)</w:t>
      </w:r>
      <w:r w:rsidRPr="001132C1">
        <w:t xml:space="preserve"> on your PC</w:t>
      </w:r>
      <w:r>
        <w:t>,</w:t>
      </w:r>
      <w:r w:rsidRPr="001132C1">
        <w:t xml:space="preserve"> </w:t>
      </w:r>
      <w:r>
        <w:t xml:space="preserve">then you may </w:t>
      </w:r>
      <w:r w:rsidRPr="001132C1">
        <w:t xml:space="preserve">install the </w:t>
      </w:r>
      <w:r>
        <w:t>updated WHONET applications side by side in different folders and copy your data and configuration files to the new folders. This method will retain your ability to use the older version of the software. Alternatively, you can use the browse feature to locate the configuration files without copying them.</w:t>
      </w:r>
    </w:p>
    <w:p w14:paraId="3974FEB2" w14:textId="77777777" w:rsidR="00C21EE1" w:rsidRDefault="00C21EE1" w:rsidP="00071C37">
      <w:pPr>
        <w:pStyle w:val="BodyText"/>
      </w:pPr>
      <w:r w:rsidRPr="001132C1">
        <w:t xml:space="preserve">After installing the </w:t>
      </w:r>
      <w:r w:rsidR="007B61AF">
        <w:t>program</w:t>
      </w:r>
      <w:r w:rsidR="00703567">
        <w:t>me</w:t>
      </w:r>
      <w:r w:rsidR="002E0278">
        <w:t>,</w:t>
      </w:r>
      <w:r w:rsidRPr="001132C1">
        <w:t xml:space="preserve"> you </w:t>
      </w:r>
      <w:r w:rsidR="007B61AF">
        <w:t xml:space="preserve">will </w:t>
      </w:r>
      <w:r w:rsidRPr="001132C1">
        <w:t xml:space="preserve">find the WHONET </w:t>
      </w:r>
      <w:r w:rsidR="005F485B">
        <w:t xml:space="preserve">and BacLink </w:t>
      </w:r>
      <w:r w:rsidRPr="001132C1">
        <w:t>icon</w:t>
      </w:r>
      <w:r w:rsidR="005F485B">
        <w:t>s</w:t>
      </w:r>
      <w:r w:rsidRPr="001132C1">
        <w:t xml:space="preserve"> </w:t>
      </w:r>
      <w:r w:rsidR="005F485B">
        <w:t>on</w:t>
      </w:r>
      <w:r w:rsidRPr="001132C1">
        <w:t xml:space="preserve"> your </w:t>
      </w:r>
      <w:r w:rsidR="00581BDB">
        <w:t>computer’s desktop.</w:t>
      </w:r>
    </w:p>
    <w:p w14:paraId="585BC60F" w14:textId="77777777" w:rsidR="002E0278" w:rsidRPr="00C77AF8" w:rsidRDefault="002E0278" w:rsidP="00071C37">
      <w:pPr>
        <w:pStyle w:val="BodyText"/>
        <w:ind w:left="720" w:hanging="720"/>
      </w:pPr>
      <w:r w:rsidRPr="00C77AF8">
        <w:t xml:space="preserve">Note: </w:t>
      </w:r>
      <w:r w:rsidR="00F57874" w:rsidRPr="00C77AF8">
        <w:tab/>
      </w:r>
      <w:r w:rsidR="002E0514" w:rsidRPr="00C77AF8">
        <w:t>If you have an antivirus, or system protection software installed such as Microsoft SmartScreen, Norton Antivirus, Symantec Antivirus, etc., it is possible that you may encounter a warning message similar to the following:</w:t>
      </w:r>
    </w:p>
    <w:p w14:paraId="53CA0DA8" w14:textId="77777777" w:rsidR="00F57874" w:rsidRDefault="00F57874" w:rsidP="00F57874">
      <w:pPr>
        <w:pStyle w:val="BodyText"/>
        <w:tabs>
          <w:tab w:val="left" w:pos="709"/>
        </w:tabs>
        <w:ind w:left="709" w:hanging="709"/>
        <w:jc w:val="both"/>
        <w:rPr>
          <w:sz w:val="20"/>
          <w:lang w:val="en-GB"/>
        </w:rPr>
      </w:pPr>
    </w:p>
    <w:p w14:paraId="097AC891" w14:textId="77777777" w:rsidR="002E0278" w:rsidRDefault="002E0278">
      <w:pPr>
        <w:pStyle w:val="BodyText"/>
        <w:jc w:val="both"/>
        <w:rPr>
          <w:sz w:val="20"/>
          <w:lang w:val="en-GB"/>
        </w:rPr>
      </w:pPr>
      <w:r>
        <w:rPr>
          <w:noProof/>
          <w:sz w:val="20"/>
          <w:lang w:val="en-GB" w:eastAsia="en-GB"/>
        </w:rPr>
        <w:drawing>
          <wp:inline distT="0" distB="0" distL="0" distR="0" wp14:anchorId="68AD79BD" wp14:editId="62242B2A">
            <wp:extent cx="57245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42900"/>
                    </a:xfrm>
                    <a:prstGeom prst="rect">
                      <a:avLst/>
                    </a:prstGeom>
                    <a:noFill/>
                    <a:ln>
                      <a:noFill/>
                    </a:ln>
                  </pic:spPr>
                </pic:pic>
              </a:graphicData>
            </a:graphic>
          </wp:inline>
        </w:drawing>
      </w:r>
    </w:p>
    <w:p w14:paraId="466D10AF" w14:textId="77777777" w:rsidR="002E0278" w:rsidRDefault="002E0278">
      <w:pPr>
        <w:pStyle w:val="BodyText"/>
        <w:jc w:val="both"/>
        <w:rPr>
          <w:sz w:val="20"/>
          <w:lang w:val="en-GB"/>
        </w:rPr>
      </w:pPr>
    </w:p>
    <w:p w14:paraId="6125D147" w14:textId="77777777" w:rsidR="00250F11" w:rsidRPr="008B008D" w:rsidRDefault="002E0278" w:rsidP="00071C37">
      <w:pPr>
        <w:pStyle w:val="BodyText"/>
      </w:pPr>
      <w:r w:rsidRPr="008B008D">
        <w:t xml:space="preserve">This message appears because the software is new and has not </w:t>
      </w:r>
      <w:r w:rsidR="00377B3E" w:rsidRPr="008B008D">
        <w:t>been installed on many systems</w:t>
      </w:r>
      <w:r w:rsidR="00250F11" w:rsidRPr="008B008D">
        <w:t xml:space="preserve">, so </w:t>
      </w:r>
      <w:r w:rsidR="002E0514" w:rsidRPr="008B008D">
        <w:t>the antivirus software</w:t>
      </w:r>
      <w:r w:rsidR="00250F11" w:rsidRPr="008B008D">
        <w:t xml:space="preserve"> notifies you that you should take extra precaution</w:t>
      </w:r>
      <w:r w:rsidR="00255C96" w:rsidRPr="008B008D">
        <w:t>.</w:t>
      </w:r>
      <w:r w:rsidR="00250F11" w:rsidRPr="008B008D">
        <w:t xml:space="preserve"> </w:t>
      </w:r>
      <w:r w:rsidR="00255C96" w:rsidRPr="008B008D">
        <w:t>I</w:t>
      </w:r>
      <w:r w:rsidR="00250F11" w:rsidRPr="008B008D">
        <w:t>t does not indicate a problem with the installation package</w:t>
      </w:r>
      <w:r w:rsidR="002E0514" w:rsidRPr="008B008D">
        <w:t>. To proceed, you must follow your system</w:t>
      </w:r>
      <w:r w:rsidR="00703567" w:rsidRPr="008B008D">
        <w:t>’</w:t>
      </w:r>
      <w:r w:rsidR="002E0514" w:rsidRPr="008B008D">
        <w:t xml:space="preserve">s prompts to continue with the installation. It may be necessary to open your computer’s </w:t>
      </w:r>
      <w:r w:rsidR="00F67DB8" w:rsidRPr="008B008D">
        <w:t>d</w:t>
      </w:r>
      <w:r w:rsidR="002E0514" w:rsidRPr="008B008D">
        <w:t>ownloads folder in order to locate the installation package.</w:t>
      </w:r>
    </w:p>
    <w:p w14:paraId="02DA8A7B" w14:textId="77777777" w:rsidR="00D55252" w:rsidRDefault="00FF6E2A" w:rsidP="00071C37">
      <w:pPr>
        <w:pStyle w:val="BodyText"/>
      </w:pPr>
      <w:r w:rsidRPr="008B008D">
        <w:t>A</w:t>
      </w:r>
      <w:r w:rsidR="00377B3E" w:rsidRPr="008B008D">
        <w:t>dditional</w:t>
      </w:r>
      <w:r w:rsidRPr="008B008D">
        <w:t>ly</w:t>
      </w:r>
      <w:r w:rsidR="00377B3E" w:rsidRPr="008B008D">
        <w:t>, you may wish to scan the file using your antivirus software before installing the appli</w:t>
      </w:r>
      <w:r w:rsidR="00B36236" w:rsidRPr="008B008D">
        <w:t>cation.</w:t>
      </w:r>
      <w:r w:rsidR="00250F11" w:rsidRPr="008B008D">
        <w:t xml:space="preserve"> </w:t>
      </w:r>
      <w:r w:rsidR="00B36236" w:rsidRPr="008B008D">
        <w:t xml:space="preserve">You should also </w:t>
      </w:r>
      <w:r w:rsidR="00250F11" w:rsidRPr="008B008D">
        <w:t>verify that the installer is from the verified publisher “Brigham and Women’s Hospital.”</w:t>
      </w:r>
      <w:r w:rsidRPr="008B008D">
        <w:t xml:space="preserve"> This last point ensures that the installation package is authentic and has not been modified </w:t>
      </w:r>
      <w:r w:rsidR="00F5655E" w:rsidRPr="008B008D">
        <w:t>since it was created</w:t>
      </w:r>
      <w:r w:rsidRPr="008B008D">
        <w:t>.</w:t>
      </w:r>
      <w:bookmarkStart w:id="4" w:name="_Toc466271224"/>
    </w:p>
    <w:p w14:paraId="14FF4390" w14:textId="77777777" w:rsidR="00D55252" w:rsidRDefault="00D55252" w:rsidP="00D55252">
      <w:pPr>
        <w:rPr>
          <w:rFonts w:asciiTheme="minorHAnsi" w:hAnsiTheme="minorHAnsi" w:cs="Arial"/>
          <w:sz w:val="22"/>
          <w:szCs w:val="22"/>
        </w:rPr>
      </w:pPr>
      <w:r>
        <w:br w:type="page"/>
      </w:r>
    </w:p>
    <w:p w14:paraId="1FCFAB9B" w14:textId="77777777" w:rsidR="00C86DAC" w:rsidRDefault="00C21EE1" w:rsidP="00D55252">
      <w:pPr>
        <w:pStyle w:val="Heading1"/>
        <w:rPr>
          <w:lang w:val="en-US"/>
        </w:rPr>
      </w:pPr>
      <w:bookmarkStart w:id="5" w:name="_Toc466984275"/>
      <w:bookmarkStart w:id="6" w:name="_Toc170728112"/>
      <w:r w:rsidRPr="00C86DAC">
        <w:rPr>
          <w:lang w:val="en-US"/>
        </w:rPr>
        <w:lastRenderedPageBreak/>
        <w:t>Laboratory configuration</w:t>
      </w:r>
      <w:bookmarkEnd w:id="4"/>
      <w:bookmarkEnd w:id="5"/>
      <w:bookmarkEnd w:id="6"/>
      <w:r w:rsidRPr="00C86DAC">
        <w:rPr>
          <w:lang w:val="en-US"/>
        </w:rPr>
        <w:t xml:space="preserve"> </w:t>
      </w:r>
      <w:bookmarkStart w:id="7" w:name="_Toc466271225"/>
    </w:p>
    <w:p w14:paraId="7CF71DF1" w14:textId="73215882" w:rsidR="00C21EE1" w:rsidRPr="00C86DAC" w:rsidRDefault="00500852" w:rsidP="00500852">
      <w:pPr>
        <w:pStyle w:val="Heading2"/>
      </w:pPr>
      <w:bookmarkStart w:id="8" w:name="_Toc170728113"/>
      <w:r>
        <w:t xml:space="preserve">3.1     </w:t>
      </w:r>
      <w:r w:rsidR="00147B08" w:rsidRPr="00D55252">
        <w:t>Creating</w:t>
      </w:r>
      <w:r w:rsidR="00147B08">
        <w:t xml:space="preserve"> a </w:t>
      </w:r>
      <w:r w:rsidR="00703567">
        <w:t>n</w:t>
      </w:r>
      <w:r w:rsidR="00147B08">
        <w:t xml:space="preserve">ew </w:t>
      </w:r>
      <w:r w:rsidR="00703567">
        <w:t>l</w:t>
      </w:r>
      <w:r w:rsidR="00147B08">
        <w:t xml:space="preserve">aboratory </w:t>
      </w:r>
      <w:r w:rsidR="00703567">
        <w:t>c</w:t>
      </w:r>
      <w:r w:rsidR="00F54E16" w:rsidRPr="00F54E16">
        <w:t>onfiguration</w:t>
      </w:r>
      <w:bookmarkEnd w:id="7"/>
      <w:bookmarkEnd w:id="8"/>
    </w:p>
    <w:p w14:paraId="2F448F14" w14:textId="77777777" w:rsidR="00F54E16" w:rsidRDefault="00F54E16" w:rsidP="00406022">
      <w:pPr>
        <w:rPr>
          <w:rFonts w:ascii="Arial" w:hAnsi="Arial" w:cs="Arial"/>
          <w:lang w:val="en-GB"/>
        </w:rPr>
      </w:pPr>
    </w:p>
    <w:p w14:paraId="3DF1AF56" w14:textId="62DA7BF8" w:rsidR="00584E07" w:rsidRPr="009F6D5A" w:rsidRDefault="00584E07" w:rsidP="005E4207">
      <w:pPr>
        <w:rPr>
          <w:rFonts w:asciiTheme="minorHAnsi" w:hAnsiTheme="minorHAnsi" w:cstheme="minorHAnsi"/>
          <w:sz w:val="22"/>
          <w:szCs w:val="22"/>
          <w:lang w:val="en-GB"/>
        </w:rPr>
      </w:pPr>
      <w:r w:rsidRPr="009F6D5A">
        <w:rPr>
          <w:rFonts w:asciiTheme="minorHAnsi" w:hAnsiTheme="minorHAnsi" w:cstheme="minorHAnsi"/>
          <w:sz w:val="22"/>
          <w:szCs w:val="22"/>
          <w:lang w:val="en-GB"/>
        </w:rPr>
        <w:t>To configur</w:t>
      </w:r>
      <w:r w:rsidR="005E4207" w:rsidRPr="009F6D5A">
        <w:rPr>
          <w:rFonts w:asciiTheme="minorHAnsi" w:hAnsiTheme="minorHAnsi" w:cstheme="minorHAnsi"/>
          <w:sz w:val="22"/>
          <w:szCs w:val="22"/>
          <w:lang w:val="en-GB"/>
        </w:rPr>
        <w:t>e</w:t>
      </w:r>
      <w:r w:rsidRPr="009F6D5A">
        <w:rPr>
          <w:rFonts w:asciiTheme="minorHAnsi" w:hAnsiTheme="minorHAnsi" w:cstheme="minorHAnsi"/>
          <w:sz w:val="22"/>
          <w:szCs w:val="22"/>
          <w:lang w:val="en-GB"/>
        </w:rPr>
        <w:t xml:space="preserve"> a</w:t>
      </w:r>
      <w:r w:rsidR="00C16F33">
        <w:rPr>
          <w:rFonts w:asciiTheme="minorHAnsi" w:hAnsiTheme="minorHAnsi" w:cstheme="minorHAnsi"/>
          <w:sz w:val="22"/>
          <w:szCs w:val="22"/>
          <w:lang w:val="en-GB"/>
        </w:rPr>
        <w:t>n</w:t>
      </w:r>
      <w:r w:rsidRPr="009F6D5A">
        <w:rPr>
          <w:rFonts w:asciiTheme="minorHAnsi" w:hAnsiTheme="minorHAnsi" w:cstheme="minorHAnsi"/>
          <w:sz w:val="22"/>
          <w:szCs w:val="22"/>
          <w:lang w:val="en-GB"/>
        </w:rPr>
        <w:t xml:space="preserve"> </w:t>
      </w:r>
      <w:r w:rsidR="00C16F33">
        <w:rPr>
          <w:rFonts w:asciiTheme="minorHAnsi" w:hAnsiTheme="minorHAnsi" w:cstheme="minorHAnsi"/>
          <w:sz w:val="22"/>
          <w:szCs w:val="22"/>
          <w:lang w:val="en-GB"/>
        </w:rPr>
        <w:t>EGASP</w:t>
      </w:r>
      <w:r w:rsidR="00D8394D" w:rsidRPr="009F6D5A">
        <w:rPr>
          <w:rFonts w:asciiTheme="minorHAnsi" w:hAnsiTheme="minorHAnsi" w:cstheme="minorHAnsi"/>
          <w:sz w:val="22"/>
          <w:szCs w:val="22"/>
          <w:lang w:val="en-GB"/>
        </w:rPr>
        <w:t xml:space="preserve"> </w:t>
      </w:r>
      <w:r w:rsidRPr="009F6D5A">
        <w:rPr>
          <w:rFonts w:asciiTheme="minorHAnsi" w:hAnsiTheme="minorHAnsi" w:cstheme="minorHAnsi"/>
          <w:sz w:val="22"/>
          <w:szCs w:val="22"/>
          <w:lang w:val="en-GB"/>
        </w:rPr>
        <w:t>laboratory:</w:t>
      </w:r>
    </w:p>
    <w:p w14:paraId="7BE0509A" w14:textId="77777777" w:rsidR="00C21EE1" w:rsidRPr="009F6D5A" w:rsidRDefault="00C21EE1" w:rsidP="00C86DAC">
      <w:pPr>
        <w:pStyle w:val="Bodytextarrow"/>
        <w:rPr>
          <w:szCs w:val="22"/>
        </w:rPr>
      </w:pPr>
      <w:r w:rsidRPr="009F6D5A">
        <w:rPr>
          <w:szCs w:val="22"/>
        </w:rPr>
        <w:t xml:space="preserve">Start WHONET, the screen </w:t>
      </w:r>
      <w:r w:rsidR="00014209" w:rsidRPr="009F6D5A">
        <w:rPr>
          <w:szCs w:val="22"/>
        </w:rPr>
        <w:t xml:space="preserve">below </w:t>
      </w:r>
      <w:r w:rsidRPr="009F6D5A">
        <w:rPr>
          <w:szCs w:val="22"/>
        </w:rPr>
        <w:t xml:space="preserve">appears, </w:t>
      </w:r>
      <w:r w:rsidR="005E4207" w:rsidRPr="009F6D5A">
        <w:rPr>
          <w:szCs w:val="22"/>
        </w:rPr>
        <w:t xml:space="preserve">click </w:t>
      </w:r>
      <w:r w:rsidR="00F57874" w:rsidRPr="009F6D5A">
        <w:rPr>
          <w:szCs w:val="22"/>
        </w:rPr>
        <w:t>“Cancel”</w:t>
      </w:r>
      <w:r w:rsidRPr="009F6D5A">
        <w:rPr>
          <w:szCs w:val="22"/>
        </w:rPr>
        <w:t xml:space="preserve"> </w:t>
      </w:r>
    </w:p>
    <w:p w14:paraId="67812665" w14:textId="77777777" w:rsidR="00C21EE1" w:rsidRPr="001132C1" w:rsidRDefault="00C21EE1">
      <w:pPr>
        <w:rPr>
          <w:rFonts w:ascii="Arial" w:hAnsi="Arial"/>
          <w:lang w:val="en-GB"/>
        </w:rPr>
      </w:pPr>
    </w:p>
    <w:p w14:paraId="60AAD3AC" w14:textId="6B65B2E9" w:rsidR="00C21EE1" w:rsidRPr="00985C40" w:rsidRDefault="00C16F33" w:rsidP="0029395C">
      <w:pPr>
        <w:jc w:val="center"/>
        <w:rPr>
          <w:rFonts w:ascii="Arial" w:hAnsi="Arial"/>
        </w:rPr>
      </w:pPr>
      <w:r>
        <w:rPr>
          <w:noProof/>
        </w:rPr>
        <w:drawing>
          <wp:inline distT="0" distB="0" distL="0" distR="0" wp14:anchorId="378D8F74" wp14:editId="7364DF5E">
            <wp:extent cx="5732145" cy="310959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109595"/>
                    </a:xfrm>
                    <a:prstGeom prst="rect">
                      <a:avLst/>
                    </a:prstGeom>
                  </pic:spPr>
                </pic:pic>
              </a:graphicData>
            </a:graphic>
          </wp:inline>
        </w:drawing>
      </w:r>
    </w:p>
    <w:p w14:paraId="1487454E" w14:textId="77777777" w:rsidR="00C21EE1" w:rsidRDefault="00C21EE1">
      <w:pPr>
        <w:rPr>
          <w:rFonts w:ascii="Arial" w:hAnsi="Arial"/>
        </w:rPr>
      </w:pPr>
    </w:p>
    <w:p w14:paraId="247A7051" w14:textId="77777777" w:rsidR="00600AD6" w:rsidRDefault="00600AD6">
      <w:pPr>
        <w:rPr>
          <w:rFonts w:asciiTheme="minorHAnsi" w:hAnsiTheme="minorHAnsi" w:cs="Arial"/>
          <w:sz w:val="22"/>
          <w:szCs w:val="22"/>
        </w:rPr>
      </w:pPr>
      <w:r>
        <w:br w:type="page"/>
      </w:r>
    </w:p>
    <w:p w14:paraId="0833A8FF" w14:textId="77777777" w:rsidR="00C21EE1" w:rsidRDefault="00C21EE1" w:rsidP="00071C37">
      <w:pPr>
        <w:pStyle w:val="BodyText"/>
        <w:rPr>
          <w:lang w:val="en-GB"/>
        </w:rPr>
      </w:pPr>
      <w:r w:rsidRPr="00071C37">
        <w:lastRenderedPageBreak/>
        <w:t>Then</w:t>
      </w:r>
      <w:r w:rsidRPr="001132C1">
        <w:rPr>
          <w:lang w:val="en-GB"/>
        </w:rPr>
        <w:t xml:space="preserve"> the main WHONET screen appears. </w:t>
      </w:r>
    </w:p>
    <w:p w14:paraId="295DE527" w14:textId="7992B28C" w:rsidR="00C16F33" w:rsidRDefault="00C21EE1" w:rsidP="00E12E0B">
      <w:pPr>
        <w:pStyle w:val="Bodytextarrow"/>
        <w:jc w:val="center"/>
      </w:pPr>
      <w:r w:rsidRPr="001132C1">
        <w:t xml:space="preserve">Click “File”, </w:t>
      </w:r>
      <w:r w:rsidR="005E4207">
        <w:t>select “</w:t>
      </w:r>
      <w:r w:rsidR="00C16F33">
        <w:t>WHO GLASS-</w:t>
      </w:r>
      <w:proofErr w:type="gramStart"/>
      <w:r w:rsidR="00C16F33">
        <w:t>EGASP</w:t>
      </w:r>
      <w:r w:rsidRPr="001132C1">
        <w:t>“</w:t>
      </w:r>
      <w:r w:rsidR="005E4207">
        <w:t xml:space="preserve"> and</w:t>
      </w:r>
      <w:proofErr w:type="gramEnd"/>
      <w:r w:rsidR="005E4207">
        <w:t xml:space="preserve"> click  “N</w:t>
      </w:r>
      <w:r w:rsidRPr="001132C1">
        <w:t>ew laboratory”</w:t>
      </w:r>
      <w:r w:rsidR="00C16F33">
        <w:t>.</w:t>
      </w:r>
      <w:r w:rsidR="00C16F33" w:rsidRPr="00C16F33">
        <w:rPr>
          <w:noProof/>
        </w:rPr>
        <w:t xml:space="preserve"> </w:t>
      </w:r>
      <w:r w:rsidR="00923F57" w:rsidRPr="00923F57">
        <w:rPr>
          <w:noProof/>
        </w:rPr>
        <w:drawing>
          <wp:inline distT="0" distB="0" distL="0" distR="0" wp14:anchorId="4E109AA4" wp14:editId="6E0965C9">
            <wp:extent cx="4344006" cy="2362530"/>
            <wp:effectExtent l="0" t="0" r="0" b="0"/>
            <wp:docPr id="1347846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46750" name=""/>
                    <pic:cNvPicPr/>
                  </pic:nvPicPr>
                  <pic:blipFill>
                    <a:blip r:embed="rId15"/>
                    <a:stretch>
                      <a:fillRect/>
                    </a:stretch>
                  </pic:blipFill>
                  <pic:spPr>
                    <a:xfrm>
                      <a:off x="0" y="0"/>
                      <a:ext cx="4344006" cy="2362530"/>
                    </a:xfrm>
                    <a:prstGeom prst="rect">
                      <a:avLst/>
                    </a:prstGeom>
                  </pic:spPr>
                </pic:pic>
              </a:graphicData>
            </a:graphic>
          </wp:inline>
        </w:drawing>
      </w:r>
    </w:p>
    <w:p w14:paraId="40E702BF" w14:textId="3FDFB892" w:rsidR="00C21EE1" w:rsidRPr="001132C1" w:rsidRDefault="00C16F33" w:rsidP="00C86DAC">
      <w:pPr>
        <w:pStyle w:val="Bodytextarrow"/>
      </w:pPr>
      <w:r>
        <w:t>T</w:t>
      </w:r>
      <w:r w:rsidR="00C21EE1" w:rsidRPr="001132C1">
        <w:t xml:space="preserve">he </w:t>
      </w:r>
      <w:r w:rsidR="00F57874">
        <w:t xml:space="preserve">following </w:t>
      </w:r>
      <w:r w:rsidR="00C21EE1" w:rsidRPr="001132C1">
        <w:t>screen appears</w:t>
      </w:r>
      <w:r>
        <w:t xml:space="preserve"> requesting that you answer some basic information about the new laboratory configuration you are about to create.</w:t>
      </w:r>
    </w:p>
    <w:p w14:paraId="7961377E" w14:textId="3AF15E13" w:rsidR="00C21EE1" w:rsidRPr="002E0300" w:rsidRDefault="00A362A2" w:rsidP="0029395C">
      <w:pPr>
        <w:jc w:val="center"/>
      </w:pPr>
      <w:r>
        <w:rPr>
          <w:noProof/>
        </w:rPr>
        <w:drawing>
          <wp:inline distT="0" distB="0" distL="0" distR="0" wp14:anchorId="58B2CAE1" wp14:editId="5E1DFA9E">
            <wp:extent cx="5667375" cy="3228975"/>
            <wp:effectExtent l="0" t="0" r="9525" b="9525"/>
            <wp:docPr id="1666307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07122" name=""/>
                    <pic:cNvPicPr/>
                  </pic:nvPicPr>
                  <pic:blipFill>
                    <a:blip r:embed="rId16"/>
                    <a:stretch>
                      <a:fillRect/>
                    </a:stretch>
                  </pic:blipFill>
                  <pic:spPr>
                    <a:xfrm>
                      <a:off x="0" y="0"/>
                      <a:ext cx="5667375" cy="3228975"/>
                    </a:xfrm>
                    <a:prstGeom prst="rect">
                      <a:avLst/>
                    </a:prstGeom>
                  </pic:spPr>
                </pic:pic>
              </a:graphicData>
            </a:graphic>
          </wp:inline>
        </w:drawing>
      </w:r>
    </w:p>
    <w:p w14:paraId="3BDC9DBB" w14:textId="77777777" w:rsidR="00E12E0B" w:rsidRDefault="00C21EE1" w:rsidP="00C86DAC">
      <w:pPr>
        <w:pStyle w:val="Bodytextarrow"/>
      </w:pPr>
      <w:r w:rsidRPr="001132C1">
        <w:t>Indicate your</w:t>
      </w:r>
      <w:r w:rsidR="00F63C1B">
        <w:t xml:space="preserve"> country, laboratory name</w:t>
      </w:r>
      <w:r w:rsidRPr="001132C1">
        <w:t xml:space="preserve"> and laboratory code</w:t>
      </w:r>
      <w:r w:rsidR="00B662BF">
        <w:t xml:space="preserve">, </w:t>
      </w:r>
      <w:r w:rsidR="00014209">
        <w:t>then</w:t>
      </w:r>
      <w:r w:rsidR="00840483">
        <w:t xml:space="preserve"> </w:t>
      </w:r>
      <w:r w:rsidR="00B662BF">
        <w:t>c</w:t>
      </w:r>
      <w:r w:rsidRPr="001132C1">
        <w:t xml:space="preserve">lick </w:t>
      </w:r>
      <w:r w:rsidR="00230FA7">
        <w:t>“</w:t>
      </w:r>
      <w:r w:rsidRPr="001132C1">
        <w:t>OK</w:t>
      </w:r>
      <w:r w:rsidR="00230FA7">
        <w:t>”</w:t>
      </w:r>
      <w:r w:rsidRPr="001132C1">
        <w:t>.</w:t>
      </w:r>
    </w:p>
    <w:p w14:paraId="2649D824" w14:textId="169AAC6E" w:rsidR="00E12E0B" w:rsidRDefault="003E14D1" w:rsidP="00C86DAC">
      <w:pPr>
        <w:pStyle w:val="Bodytextarrow"/>
      </w:pPr>
      <w:r w:rsidRPr="00E12E0B">
        <w:t xml:space="preserve">The screen </w:t>
      </w:r>
      <w:r w:rsidR="00014209" w:rsidRPr="00C86DAC">
        <w:t>below</w:t>
      </w:r>
      <w:r w:rsidR="00014209" w:rsidRPr="00E12E0B">
        <w:t xml:space="preserve"> </w:t>
      </w:r>
      <w:r w:rsidRPr="00E12E0B">
        <w:t>appears</w:t>
      </w:r>
      <w:r w:rsidR="00E12E0B">
        <w:t xml:space="preserve">. </w:t>
      </w:r>
      <w:r w:rsidR="00E12E0B" w:rsidRPr="001132C1">
        <w:t>Select the gui</w:t>
      </w:r>
      <w:r w:rsidR="00E12E0B">
        <w:t xml:space="preserve">delines used at the laboratory </w:t>
      </w:r>
      <w:r w:rsidR="00E12E0B" w:rsidRPr="001132C1">
        <w:t xml:space="preserve">and click </w:t>
      </w:r>
      <w:r w:rsidR="00E12E0B">
        <w:t>“</w:t>
      </w:r>
      <w:r w:rsidR="00E12E0B" w:rsidRPr="001132C1">
        <w:t>OK</w:t>
      </w:r>
      <w:r w:rsidR="00E12E0B">
        <w:t>”</w:t>
      </w:r>
      <w:r w:rsidR="00E12E0B" w:rsidRPr="001132C1">
        <w:t>.</w:t>
      </w:r>
    </w:p>
    <w:p w14:paraId="0F3207F7" w14:textId="79C72607" w:rsidR="00E12E0B" w:rsidRPr="0086759B" w:rsidRDefault="00E12E0B" w:rsidP="00E12E0B">
      <w:pPr>
        <w:pStyle w:val="Bodytextarrow"/>
        <w:numPr>
          <w:ilvl w:val="0"/>
          <w:numId w:val="0"/>
        </w:numPr>
        <w:ind w:left="964"/>
        <w:jc w:val="center"/>
      </w:pPr>
      <w:r>
        <w:rPr>
          <w:noProof/>
        </w:rPr>
        <w:drawing>
          <wp:inline distT="0" distB="0" distL="0" distR="0" wp14:anchorId="592E1439" wp14:editId="57CAACF7">
            <wp:extent cx="3067050" cy="1533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67050" cy="1533525"/>
                    </a:xfrm>
                    <a:prstGeom prst="rect">
                      <a:avLst/>
                    </a:prstGeom>
                  </pic:spPr>
                </pic:pic>
              </a:graphicData>
            </a:graphic>
          </wp:inline>
        </w:drawing>
      </w:r>
    </w:p>
    <w:p w14:paraId="087EF413" w14:textId="36629EA0" w:rsidR="00C21EE1" w:rsidRPr="0086759B" w:rsidRDefault="008633C2" w:rsidP="00C86DAC">
      <w:pPr>
        <w:pStyle w:val="BodyText"/>
        <w:rPr>
          <w:lang w:val="en-US"/>
        </w:rPr>
      </w:pPr>
      <w:r>
        <w:rPr>
          <w:lang w:val="en-GB"/>
        </w:rPr>
        <w:lastRenderedPageBreak/>
        <w:t xml:space="preserve">With the </w:t>
      </w:r>
      <w:r w:rsidR="00E12E0B">
        <w:rPr>
          <w:lang w:val="en-GB"/>
        </w:rPr>
        <w:t>EGASP</w:t>
      </w:r>
      <w:r>
        <w:rPr>
          <w:lang w:val="en-GB"/>
        </w:rPr>
        <w:t xml:space="preserve"> </w:t>
      </w:r>
      <w:r w:rsidRPr="00071C37">
        <w:t>configuration</w:t>
      </w:r>
      <w:r>
        <w:rPr>
          <w:lang w:val="en-GB"/>
        </w:rPr>
        <w:t xml:space="preserve"> </w:t>
      </w:r>
      <w:r w:rsidR="00C21EE1" w:rsidRPr="001132C1">
        <w:rPr>
          <w:lang w:val="en-GB"/>
        </w:rPr>
        <w:t>WHONET will create a new laboratory with the recommended set of anti</w:t>
      </w:r>
      <w:r w:rsidR="009F6D5A">
        <w:rPr>
          <w:lang w:val="en-GB"/>
        </w:rPr>
        <w:t>biotics, data fields and codes.</w:t>
      </w:r>
      <w:r w:rsidR="00C21EE1" w:rsidRPr="001132C1">
        <w:rPr>
          <w:lang w:val="en-GB"/>
        </w:rPr>
        <w:t xml:space="preserve"> </w:t>
      </w:r>
      <w:r w:rsidR="00C21EE1" w:rsidRPr="0086759B">
        <w:rPr>
          <w:lang w:val="en-US"/>
        </w:rPr>
        <w:t>You will then be prompted with the following screen.</w:t>
      </w:r>
    </w:p>
    <w:p w14:paraId="09662C7C" w14:textId="77777777" w:rsidR="00C21EE1" w:rsidRPr="0086759B" w:rsidRDefault="00C21EE1">
      <w:pPr>
        <w:rPr>
          <w:lang w:val="en-US"/>
        </w:rPr>
      </w:pPr>
    </w:p>
    <w:p w14:paraId="2FC551A3" w14:textId="2E5B49DD" w:rsidR="00C21EE1" w:rsidRDefault="00347179" w:rsidP="00F07939">
      <w:pPr>
        <w:jc w:val="center"/>
      </w:pPr>
      <w:r>
        <w:rPr>
          <w:noProof/>
        </w:rPr>
        <w:drawing>
          <wp:inline distT="0" distB="0" distL="0" distR="0" wp14:anchorId="7F2D70AF" wp14:editId="0D48DBC5">
            <wp:extent cx="3848100" cy="2009775"/>
            <wp:effectExtent l="0" t="0" r="0" b="9525"/>
            <wp:docPr id="22165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53357" name=""/>
                    <pic:cNvPicPr/>
                  </pic:nvPicPr>
                  <pic:blipFill>
                    <a:blip r:embed="rId18"/>
                    <a:stretch>
                      <a:fillRect/>
                    </a:stretch>
                  </pic:blipFill>
                  <pic:spPr>
                    <a:xfrm>
                      <a:off x="0" y="0"/>
                      <a:ext cx="3848100" cy="2009775"/>
                    </a:xfrm>
                    <a:prstGeom prst="rect">
                      <a:avLst/>
                    </a:prstGeom>
                  </pic:spPr>
                </pic:pic>
              </a:graphicData>
            </a:graphic>
          </wp:inline>
        </w:drawing>
      </w:r>
    </w:p>
    <w:p w14:paraId="3FD9A3B8" w14:textId="77777777" w:rsidR="008633C2" w:rsidRPr="002E0300" w:rsidRDefault="008633C2" w:rsidP="00F07939">
      <w:pPr>
        <w:jc w:val="center"/>
      </w:pPr>
    </w:p>
    <w:p w14:paraId="1B6AAAF4" w14:textId="77777777" w:rsidR="00C21EE1" w:rsidRDefault="00C21EE1"/>
    <w:p w14:paraId="662D15B3" w14:textId="77777777" w:rsidR="00C21EE1" w:rsidRDefault="00C21EE1" w:rsidP="00C86DAC">
      <w:pPr>
        <w:pStyle w:val="Bodytextarrow"/>
      </w:pPr>
      <w:r w:rsidRPr="001132C1">
        <w:t>If you want to review the configuration and make any additional modifications, select “Yes”</w:t>
      </w:r>
      <w:r w:rsidR="0004630B">
        <w:t xml:space="preserve"> and follow </w:t>
      </w:r>
      <w:r w:rsidR="0004630B" w:rsidRPr="00C86DAC">
        <w:t>instructions</w:t>
      </w:r>
      <w:r w:rsidR="0004630B">
        <w:t xml:space="preserve"> in </w:t>
      </w:r>
      <w:r w:rsidR="00C3764D">
        <w:t>section 3.3</w:t>
      </w:r>
      <w:r w:rsidR="00230FA7">
        <w:t xml:space="preserve"> and Annex 1</w:t>
      </w:r>
      <w:r w:rsidRPr="001132C1">
        <w:t xml:space="preserve">.  Otherwise, select “No” to proceed directly with WHONET </w:t>
      </w:r>
      <w:r w:rsidR="00014209">
        <w:t>d</w:t>
      </w:r>
      <w:r w:rsidRPr="001132C1">
        <w:t>ata entry and analysis.</w:t>
      </w:r>
    </w:p>
    <w:p w14:paraId="6AA663AB" w14:textId="2057BB3E" w:rsidR="00600AD6" w:rsidRDefault="00C21EE1" w:rsidP="00071C37">
      <w:pPr>
        <w:pStyle w:val="BodyText"/>
        <w:rPr>
          <w:lang w:val="en-GB"/>
        </w:rPr>
      </w:pPr>
      <w:r w:rsidRPr="001132C1">
        <w:rPr>
          <w:lang w:val="en-GB"/>
        </w:rPr>
        <w:t xml:space="preserve">Before you start with data </w:t>
      </w:r>
      <w:r w:rsidR="00E13EC5" w:rsidRPr="001132C1">
        <w:rPr>
          <w:lang w:val="en-GB"/>
        </w:rPr>
        <w:t>entry,</w:t>
      </w:r>
      <w:r w:rsidRPr="001132C1">
        <w:rPr>
          <w:lang w:val="en-GB"/>
        </w:rPr>
        <w:t xml:space="preserve"> we recommend that you review to check if it is necessary to make changes to the antibiotic interpretative </w:t>
      </w:r>
      <w:r w:rsidRPr="00A919C6">
        <w:rPr>
          <w:lang w:val="en-GB"/>
        </w:rPr>
        <w:t>breakpoints.</w:t>
      </w:r>
      <w:r w:rsidRPr="001132C1">
        <w:rPr>
          <w:lang w:val="en-GB"/>
        </w:rPr>
        <w:t xml:space="preserve"> For details </w:t>
      </w:r>
      <w:r w:rsidR="00014209">
        <w:rPr>
          <w:lang w:val="en-GB"/>
        </w:rPr>
        <w:t xml:space="preserve">of </w:t>
      </w:r>
      <w:r w:rsidRPr="001132C1">
        <w:rPr>
          <w:lang w:val="en-GB"/>
        </w:rPr>
        <w:t xml:space="preserve">how to make any additional changes </w:t>
      </w:r>
      <w:r w:rsidR="00014209">
        <w:rPr>
          <w:lang w:val="en-GB"/>
        </w:rPr>
        <w:t>please</w:t>
      </w:r>
      <w:r w:rsidR="00A919C6">
        <w:rPr>
          <w:lang w:val="en-GB"/>
        </w:rPr>
        <w:t xml:space="preserve"> </w:t>
      </w:r>
      <w:r w:rsidRPr="00422647">
        <w:rPr>
          <w:lang w:val="en-GB"/>
        </w:rPr>
        <w:t>r</w:t>
      </w:r>
      <w:r w:rsidR="008C1801" w:rsidRPr="00422647">
        <w:rPr>
          <w:lang w:val="en-GB"/>
        </w:rPr>
        <w:t xml:space="preserve">efer to </w:t>
      </w:r>
      <w:r w:rsidR="00422647" w:rsidRPr="00422647">
        <w:rPr>
          <w:lang w:val="en-GB"/>
        </w:rPr>
        <w:t>section 3.3</w:t>
      </w:r>
      <w:r w:rsidR="00422647">
        <w:rPr>
          <w:lang w:val="en-GB"/>
        </w:rPr>
        <w:t xml:space="preserve"> a</w:t>
      </w:r>
      <w:r w:rsidR="00F63C1B">
        <w:rPr>
          <w:lang w:val="en-GB"/>
        </w:rPr>
        <w:t xml:space="preserve">nd </w:t>
      </w:r>
      <w:r w:rsidR="00422647">
        <w:rPr>
          <w:lang w:val="en-GB"/>
        </w:rPr>
        <w:t>Annex</w:t>
      </w:r>
      <w:r w:rsidR="00F63C1B">
        <w:rPr>
          <w:lang w:val="en-GB"/>
        </w:rPr>
        <w:t xml:space="preserve"> 1</w:t>
      </w:r>
      <w:r w:rsidR="008C1801" w:rsidRPr="00422647">
        <w:rPr>
          <w:lang w:val="en-GB"/>
        </w:rPr>
        <w:t>.</w:t>
      </w:r>
    </w:p>
    <w:p w14:paraId="0C4A89B1" w14:textId="77777777" w:rsidR="00600AD6" w:rsidRDefault="00600AD6" w:rsidP="00600AD6">
      <w:pPr>
        <w:rPr>
          <w:rFonts w:asciiTheme="minorHAnsi" w:hAnsiTheme="minorHAnsi" w:cs="Arial"/>
          <w:sz w:val="22"/>
          <w:szCs w:val="22"/>
          <w:lang w:val="en-GB"/>
        </w:rPr>
      </w:pPr>
      <w:r>
        <w:rPr>
          <w:lang w:val="en-GB"/>
        </w:rPr>
        <w:br w:type="page"/>
      </w:r>
    </w:p>
    <w:p w14:paraId="2290F45D" w14:textId="2A850221" w:rsidR="006123E3" w:rsidRPr="00F67DB8" w:rsidRDefault="00500852" w:rsidP="00500852">
      <w:pPr>
        <w:pStyle w:val="Heading2"/>
      </w:pPr>
      <w:bookmarkStart w:id="9" w:name="_Toc466271226"/>
      <w:bookmarkStart w:id="10" w:name="_Toc170728114"/>
      <w:r>
        <w:lastRenderedPageBreak/>
        <w:t xml:space="preserve">3.2     </w:t>
      </w:r>
      <w:r w:rsidR="006123E3" w:rsidRPr="00C86DAC">
        <w:t>Copy</w:t>
      </w:r>
      <w:r w:rsidR="001C6CF7" w:rsidRPr="00C86DAC">
        <w:t>ing</w:t>
      </w:r>
      <w:r w:rsidR="006123E3" w:rsidRPr="00F67DB8">
        <w:t xml:space="preserve"> an existing laboratory configuration</w:t>
      </w:r>
      <w:bookmarkEnd w:id="9"/>
      <w:bookmarkEnd w:id="10"/>
      <w:r w:rsidR="006123E3" w:rsidRPr="00F67DB8">
        <w:t xml:space="preserve"> </w:t>
      </w:r>
    </w:p>
    <w:p w14:paraId="2DFB5BF1" w14:textId="0FD806DB" w:rsidR="006123E3" w:rsidRDefault="00F63C1B" w:rsidP="00071C37">
      <w:pPr>
        <w:pStyle w:val="BodyText"/>
        <w:rPr>
          <w:lang w:val="en-GB"/>
        </w:rPr>
      </w:pPr>
      <w:r>
        <w:rPr>
          <w:lang w:val="en-GB"/>
        </w:rPr>
        <w:t>If the national data manager is</w:t>
      </w:r>
      <w:r w:rsidR="005D1578">
        <w:rPr>
          <w:lang w:val="en-GB"/>
        </w:rPr>
        <w:t xml:space="preserve"> responsible for worki</w:t>
      </w:r>
      <w:r>
        <w:rPr>
          <w:lang w:val="en-GB"/>
        </w:rPr>
        <w:t xml:space="preserve">ng with multiple facilities, </w:t>
      </w:r>
      <w:r w:rsidR="009D1420">
        <w:rPr>
          <w:lang w:val="en-GB"/>
        </w:rPr>
        <w:t xml:space="preserve">the </w:t>
      </w:r>
      <w:r w:rsidR="005D1578">
        <w:rPr>
          <w:lang w:val="en-GB"/>
        </w:rPr>
        <w:t xml:space="preserve">“Copy laboratory” feature </w:t>
      </w:r>
      <w:r w:rsidR="009D1420">
        <w:rPr>
          <w:lang w:val="en-GB"/>
        </w:rPr>
        <w:t xml:space="preserve">can be used </w:t>
      </w:r>
      <w:r w:rsidR="005D1578">
        <w:rPr>
          <w:lang w:val="en-GB"/>
        </w:rPr>
        <w:t xml:space="preserve">to clone the created </w:t>
      </w:r>
      <w:r w:rsidR="00E12E0B">
        <w:rPr>
          <w:lang w:val="en-GB"/>
        </w:rPr>
        <w:t>EGASP</w:t>
      </w:r>
      <w:r w:rsidR="005D1578">
        <w:rPr>
          <w:lang w:val="en-GB"/>
        </w:rPr>
        <w:t xml:space="preserve"> laboratory to new ones, assigning a new name and code to ea</w:t>
      </w:r>
      <w:r>
        <w:rPr>
          <w:lang w:val="en-GB"/>
        </w:rPr>
        <w:t xml:space="preserve">ch additional facility </w:t>
      </w:r>
      <w:r w:rsidR="005D1578">
        <w:rPr>
          <w:lang w:val="en-GB"/>
        </w:rPr>
        <w:t>create</w:t>
      </w:r>
      <w:r>
        <w:rPr>
          <w:lang w:val="en-GB"/>
        </w:rPr>
        <w:t>d</w:t>
      </w:r>
      <w:r w:rsidR="005D1578">
        <w:rPr>
          <w:lang w:val="en-GB"/>
        </w:rPr>
        <w:t xml:space="preserve">.  This is described in further detail below.  </w:t>
      </w:r>
    </w:p>
    <w:p w14:paraId="1F030352" w14:textId="77777777" w:rsidR="006123E3" w:rsidRPr="00D928A5" w:rsidRDefault="006123E3" w:rsidP="00071C37">
      <w:pPr>
        <w:pStyle w:val="Bodytextarrow"/>
      </w:pPr>
      <w:r>
        <w:t xml:space="preserve">Choose from main menu, </w:t>
      </w:r>
      <w:r w:rsidR="005D1578">
        <w:t>“</w:t>
      </w:r>
      <w:r>
        <w:t>File</w:t>
      </w:r>
      <w:r w:rsidR="005D1578">
        <w:t>”</w:t>
      </w:r>
      <w:r>
        <w:t xml:space="preserve">, </w:t>
      </w:r>
      <w:r w:rsidR="005D1578">
        <w:t>“</w:t>
      </w:r>
      <w:r>
        <w:t>Open laboratory</w:t>
      </w:r>
      <w:r w:rsidR="005D1578">
        <w:t>”</w:t>
      </w:r>
      <w:r>
        <w:t>.</w:t>
      </w:r>
    </w:p>
    <w:p w14:paraId="51A3214D" w14:textId="29B6F913" w:rsidR="006123E3" w:rsidRPr="00422647" w:rsidRDefault="00F63C1B" w:rsidP="00071C37">
      <w:pPr>
        <w:pStyle w:val="Bodytextarrow"/>
      </w:pPr>
      <w:r>
        <w:t>T</w:t>
      </w:r>
      <w:r w:rsidR="006123E3" w:rsidRPr="001132C1">
        <w:t xml:space="preserve">o copy an existing laboratory configuration e.g. </w:t>
      </w:r>
      <w:r w:rsidR="00E12E0B">
        <w:t>LABWHO.EGASP</w:t>
      </w:r>
      <w:r w:rsidR="006123E3" w:rsidRPr="001132C1">
        <w:t xml:space="preserve">, select </w:t>
      </w:r>
      <w:r w:rsidR="00E12E0B">
        <w:t>LABWHO.EGASP</w:t>
      </w:r>
      <w:r w:rsidR="006123E3" w:rsidRPr="001132C1">
        <w:t xml:space="preserve"> from </w:t>
      </w:r>
      <w:r w:rsidR="006123E3">
        <w:t>the screen</w:t>
      </w:r>
      <w:r w:rsidR="00014209">
        <w:t xml:space="preserve"> below</w:t>
      </w:r>
      <w:r w:rsidR="006123E3">
        <w:t xml:space="preserve">, and click </w:t>
      </w:r>
      <w:r w:rsidR="006123E3" w:rsidRPr="00422647">
        <w:t xml:space="preserve">on </w:t>
      </w:r>
      <w:r w:rsidR="005D1578" w:rsidRPr="00422647">
        <w:t>“</w:t>
      </w:r>
      <w:r w:rsidR="006123E3" w:rsidRPr="00422647">
        <w:t>Copy laboratory</w:t>
      </w:r>
      <w:r w:rsidR="005D1578" w:rsidRPr="00422647">
        <w:t>”</w:t>
      </w:r>
      <w:r w:rsidR="006123E3" w:rsidRPr="00422647">
        <w:t>.</w:t>
      </w:r>
    </w:p>
    <w:p w14:paraId="7A416FDE" w14:textId="56062AAB" w:rsidR="006123E3" w:rsidRPr="001132C1" w:rsidRDefault="00202765" w:rsidP="006123E3">
      <w:pPr>
        <w:jc w:val="center"/>
        <w:rPr>
          <w:rFonts w:ascii="Arial" w:hAnsi="Arial"/>
          <w:lang w:val="en-GB"/>
        </w:rPr>
      </w:pPr>
      <w:r>
        <w:rPr>
          <w:noProof/>
        </w:rPr>
        <w:drawing>
          <wp:inline distT="0" distB="0" distL="0" distR="0" wp14:anchorId="459FD7C2" wp14:editId="4ED7014B">
            <wp:extent cx="5732145" cy="3037840"/>
            <wp:effectExtent l="0" t="0" r="1905" b="0"/>
            <wp:docPr id="150355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57554" name=""/>
                    <pic:cNvPicPr/>
                  </pic:nvPicPr>
                  <pic:blipFill>
                    <a:blip r:embed="rId19"/>
                    <a:stretch>
                      <a:fillRect/>
                    </a:stretch>
                  </pic:blipFill>
                  <pic:spPr>
                    <a:xfrm>
                      <a:off x="0" y="0"/>
                      <a:ext cx="5732145" cy="3037840"/>
                    </a:xfrm>
                    <a:prstGeom prst="rect">
                      <a:avLst/>
                    </a:prstGeom>
                  </pic:spPr>
                </pic:pic>
              </a:graphicData>
            </a:graphic>
          </wp:inline>
        </w:drawing>
      </w:r>
    </w:p>
    <w:p w14:paraId="3B6DA33E" w14:textId="77777777" w:rsidR="006123E3" w:rsidRPr="001132C1" w:rsidRDefault="006123E3" w:rsidP="006123E3">
      <w:pPr>
        <w:rPr>
          <w:rFonts w:ascii="Arial" w:hAnsi="Arial"/>
          <w:lang w:val="en-GB"/>
        </w:rPr>
      </w:pPr>
    </w:p>
    <w:p w14:paraId="781C4448" w14:textId="77777777" w:rsidR="006123E3" w:rsidRPr="00BA6192" w:rsidRDefault="006123E3" w:rsidP="00BA6192">
      <w:pPr>
        <w:pStyle w:val="BodyText"/>
        <w:rPr>
          <w:lang w:val="en-GB"/>
        </w:rPr>
      </w:pPr>
      <w:r w:rsidRPr="001132C1">
        <w:rPr>
          <w:lang w:val="en-GB"/>
        </w:rPr>
        <w:t xml:space="preserve">The screen </w:t>
      </w:r>
      <w:r w:rsidR="00014209">
        <w:rPr>
          <w:lang w:val="en-GB"/>
        </w:rPr>
        <w:t xml:space="preserve">below </w:t>
      </w:r>
      <w:r w:rsidRPr="001132C1">
        <w:rPr>
          <w:lang w:val="en-GB"/>
        </w:rPr>
        <w:t>will appear:</w:t>
      </w:r>
    </w:p>
    <w:p w14:paraId="6F747849" w14:textId="5CCA7D93" w:rsidR="006123E3" w:rsidRDefault="00202765" w:rsidP="006123E3">
      <w:pPr>
        <w:jc w:val="center"/>
        <w:rPr>
          <w:rFonts w:ascii="Arial" w:hAnsi="Arial"/>
          <w:lang w:val="en-GB"/>
        </w:rPr>
      </w:pPr>
      <w:r>
        <w:rPr>
          <w:noProof/>
        </w:rPr>
        <w:lastRenderedPageBreak/>
        <w:drawing>
          <wp:inline distT="0" distB="0" distL="0" distR="0" wp14:anchorId="5F405CF9" wp14:editId="433B9DDD">
            <wp:extent cx="5667375" cy="4191000"/>
            <wp:effectExtent l="0" t="0" r="9525" b="0"/>
            <wp:docPr id="775088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88506" name=""/>
                    <pic:cNvPicPr/>
                  </pic:nvPicPr>
                  <pic:blipFill>
                    <a:blip r:embed="rId20"/>
                    <a:stretch>
                      <a:fillRect/>
                    </a:stretch>
                  </pic:blipFill>
                  <pic:spPr>
                    <a:xfrm>
                      <a:off x="0" y="0"/>
                      <a:ext cx="5667375" cy="4191000"/>
                    </a:xfrm>
                    <a:prstGeom prst="rect">
                      <a:avLst/>
                    </a:prstGeom>
                  </pic:spPr>
                </pic:pic>
              </a:graphicData>
            </a:graphic>
          </wp:inline>
        </w:drawing>
      </w:r>
    </w:p>
    <w:p w14:paraId="62378BB8" w14:textId="77777777" w:rsidR="006123E3" w:rsidRPr="001132C1" w:rsidRDefault="006123E3" w:rsidP="006123E3">
      <w:pPr>
        <w:rPr>
          <w:rFonts w:ascii="Arial" w:hAnsi="Arial"/>
          <w:lang w:val="en-GB"/>
        </w:rPr>
      </w:pPr>
    </w:p>
    <w:p w14:paraId="07F7EDC9" w14:textId="77777777" w:rsidR="00C21EE1" w:rsidRPr="00BA6192" w:rsidRDefault="006123E3" w:rsidP="00BA6192">
      <w:pPr>
        <w:pStyle w:val="Bodytextarrow"/>
      </w:pPr>
      <w:r w:rsidRPr="00FB2C05">
        <w:t xml:space="preserve">Enter the country, laboratory name and laboratory code (numbers) and click </w:t>
      </w:r>
      <w:r w:rsidR="00230FA7">
        <w:t>“</w:t>
      </w:r>
      <w:r w:rsidRPr="00FB2C05">
        <w:t>OK</w:t>
      </w:r>
      <w:r w:rsidR="00230FA7">
        <w:t>”</w:t>
      </w:r>
      <w:r w:rsidRPr="00FB2C05">
        <w:t xml:space="preserve">. </w:t>
      </w:r>
    </w:p>
    <w:p w14:paraId="4D69E6A0" w14:textId="255CB8C6" w:rsidR="00C21EE1" w:rsidRDefault="0058605E" w:rsidP="0058605E">
      <w:pPr>
        <w:pStyle w:val="Heading2"/>
      </w:pPr>
      <w:bookmarkStart w:id="11" w:name="_Toc446228165"/>
      <w:bookmarkStart w:id="12" w:name="_Toc446237504"/>
      <w:bookmarkStart w:id="13" w:name="_Toc447713639"/>
      <w:bookmarkStart w:id="14" w:name="_Toc447720541"/>
      <w:bookmarkStart w:id="15" w:name="_Toc450356901"/>
      <w:bookmarkStart w:id="16" w:name="_Toc466271227"/>
      <w:bookmarkStart w:id="17" w:name="_Toc170728115"/>
      <w:r>
        <w:t xml:space="preserve">3.3     </w:t>
      </w:r>
      <w:r w:rsidR="00C21EE1">
        <w:t xml:space="preserve">Modifying </w:t>
      </w:r>
      <w:r w:rsidR="00014209">
        <w:t>l</w:t>
      </w:r>
      <w:r w:rsidR="00C21EE1">
        <w:t xml:space="preserve">aboratory </w:t>
      </w:r>
      <w:r w:rsidR="00014209">
        <w:t>c</w:t>
      </w:r>
      <w:r w:rsidR="00C21EE1">
        <w:t>onfiguration</w:t>
      </w:r>
      <w:bookmarkEnd w:id="11"/>
      <w:bookmarkEnd w:id="12"/>
      <w:bookmarkEnd w:id="13"/>
      <w:bookmarkEnd w:id="14"/>
      <w:bookmarkEnd w:id="15"/>
      <w:bookmarkEnd w:id="16"/>
      <w:bookmarkEnd w:id="17"/>
    </w:p>
    <w:p w14:paraId="72C16136" w14:textId="2F30F00C" w:rsidR="0089492D" w:rsidRDefault="0089492D" w:rsidP="00071C37">
      <w:pPr>
        <w:pStyle w:val="BodyText"/>
      </w:pPr>
      <w:r>
        <w:t>When us</w:t>
      </w:r>
      <w:r w:rsidR="00A919C6">
        <w:t>ing</w:t>
      </w:r>
      <w:r>
        <w:t xml:space="preserve"> the feature “Create a new </w:t>
      </w:r>
      <w:r w:rsidR="00E756A0">
        <w:t>WHO GLASS-EGASP</w:t>
      </w:r>
      <w:r>
        <w:t xml:space="preserve"> laboratory”, WHONET </w:t>
      </w:r>
      <w:r w:rsidR="00721D0B">
        <w:t>define</w:t>
      </w:r>
      <w:r w:rsidR="00A919C6">
        <w:t>s</w:t>
      </w:r>
      <w:r w:rsidR="00721D0B">
        <w:t xml:space="preserve"> </w:t>
      </w:r>
      <w:r>
        <w:t xml:space="preserve">a laboratory </w:t>
      </w:r>
      <w:r w:rsidR="00721D0B">
        <w:t xml:space="preserve">configuration with a list of antibiotics and data fields. </w:t>
      </w:r>
      <w:r w:rsidR="00441A9A">
        <w:t xml:space="preserve">However, </w:t>
      </w:r>
      <w:r w:rsidR="00F63C1B">
        <w:t>the data manager may wish to further customize the</w:t>
      </w:r>
      <w:r>
        <w:t xml:space="preserve"> configuration to more closely match data entry</w:t>
      </w:r>
      <w:r w:rsidR="0071381F">
        <w:t>, analysis and reporting</w:t>
      </w:r>
      <w:r>
        <w:t xml:space="preserve"> needs</w:t>
      </w:r>
      <w:r w:rsidR="00422647">
        <w:t xml:space="preserve"> on site and at the national level</w:t>
      </w:r>
      <w:r>
        <w:t xml:space="preserve">.  </w:t>
      </w:r>
    </w:p>
    <w:p w14:paraId="7FBB53B1" w14:textId="77777777" w:rsidR="00DC63F4" w:rsidRDefault="00DC63F4" w:rsidP="00071C37">
      <w:pPr>
        <w:pStyle w:val="BodyText"/>
      </w:pPr>
      <w:r>
        <w:t>Options include:</w:t>
      </w:r>
    </w:p>
    <w:p w14:paraId="5086AFE6" w14:textId="77777777" w:rsidR="00DC63F4" w:rsidRDefault="00DC63F4" w:rsidP="00967FAC">
      <w:pPr>
        <w:pStyle w:val="Bodytextbullet"/>
      </w:pPr>
      <w:r w:rsidRPr="001A0499">
        <w:rPr>
          <w:b/>
        </w:rPr>
        <w:t>General information:</w:t>
      </w:r>
      <w:r w:rsidR="00F63C1B">
        <w:t xml:space="preserve">  The user</w:t>
      </w:r>
      <w:r>
        <w:t xml:space="preserve"> may modify the labor</w:t>
      </w:r>
      <w:r w:rsidR="00223C5F">
        <w:t>a</w:t>
      </w:r>
      <w:r>
        <w:t>tory code, full laboratory name</w:t>
      </w:r>
      <w:r w:rsidR="00F63C1B">
        <w:t xml:space="preserve"> and country code.  The user can also specify whether </w:t>
      </w:r>
      <w:r>
        <w:t xml:space="preserve">isolates of human origin </w:t>
      </w:r>
      <w:r w:rsidR="009D1420">
        <w:t xml:space="preserve">will be collected primarily </w:t>
      </w:r>
      <w:r>
        <w:t>or whether human, animal, food and/or environmental isolates</w:t>
      </w:r>
      <w:r w:rsidR="00422647">
        <w:t xml:space="preserve"> are </w:t>
      </w:r>
      <w:r w:rsidR="009D1420">
        <w:t xml:space="preserve">to be </w:t>
      </w:r>
      <w:r w:rsidR="00422647">
        <w:t>collected in one database</w:t>
      </w:r>
      <w:r>
        <w:t>.</w:t>
      </w:r>
    </w:p>
    <w:p w14:paraId="5A16FB78" w14:textId="4B1576C1" w:rsidR="005F6B61" w:rsidRDefault="005F6B61" w:rsidP="00967FAC">
      <w:pPr>
        <w:pStyle w:val="Bodytextbullet"/>
      </w:pPr>
      <w:r w:rsidRPr="001A0499">
        <w:rPr>
          <w:b/>
        </w:rPr>
        <w:t>Data fields:</w:t>
      </w:r>
      <w:r>
        <w:t xml:space="preserve">  When the “Create a new </w:t>
      </w:r>
      <w:r w:rsidR="00E756A0">
        <w:t>WHO GLASS-EGASP</w:t>
      </w:r>
      <w:r>
        <w:t xml:space="preserve"> laboratory” feature</w:t>
      </w:r>
      <w:r w:rsidR="00A919C6">
        <w:t xml:space="preserve"> was used</w:t>
      </w:r>
      <w:r>
        <w:t>, WHONET created a list of data fields, such as “Identification number”, “Specimen type”</w:t>
      </w:r>
      <w:r w:rsidR="00230FA7">
        <w:t xml:space="preserve"> and “</w:t>
      </w:r>
      <w:r w:rsidR="00E756A0">
        <w:t>Organism</w:t>
      </w:r>
      <w:r w:rsidR="00230FA7">
        <w:t>”.</w:t>
      </w:r>
      <w:r w:rsidR="00F63C1B">
        <w:t xml:space="preserve"> The user</w:t>
      </w:r>
      <w:r>
        <w:t xml:space="preserve"> may add or remove data fields from this</w:t>
      </w:r>
      <w:r w:rsidR="00F63C1B">
        <w:t xml:space="preserve"> list to more closely match</w:t>
      </w:r>
      <w:r>
        <w:t xml:space="preserve"> data mana</w:t>
      </w:r>
      <w:r w:rsidR="00441A9A">
        <w:t>gement</w:t>
      </w:r>
      <w:r>
        <w:t xml:space="preserve"> preferences, for example “Patient last name” or “</w:t>
      </w:r>
      <w:r w:rsidR="00E756A0">
        <w:t>Date of birth</w:t>
      </w:r>
      <w:r>
        <w:t>”.</w:t>
      </w:r>
    </w:p>
    <w:p w14:paraId="3EBA2088" w14:textId="77777777" w:rsidR="00B80E55" w:rsidRDefault="00B80E55" w:rsidP="00967FAC">
      <w:pPr>
        <w:pStyle w:val="Bodytextbullet"/>
      </w:pPr>
      <w:r w:rsidRPr="001A0499">
        <w:rPr>
          <w:b/>
        </w:rPr>
        <w:t>Locations:</w:t>
      </w:r>
      <w:r>
        <w:t xml:space="preserve">  </w:t>
      </w:r>
      <w:r w:rsidR="005E4F60">
        <w:t>A</w:t>
      </w:r>
      <w:r>
        <w:t xml:space="preserve"> list of patient care areas </w:t>
      </w:r>
      <w:r w:rsidR="005E4F60">
        <w:t xml:space="preserve">may be created </w:t>
      </w:r>
      <w:r w:rsidR="00F63C1B">
        <w:t>for the</w:t>
      </w:r>
      <w:r>
        <w:t xml:space="preserve"> laboratory</w:t>
      </w:r>
      <w:r w:rsidR="00422647">
        <w:t xml:space="preserve"> configuration</w:t>
      </w:r>
      <w:r>
        <w:t xml:space="preserve"> </w:t>
      </w:r>
      <w:r w:rsidR="005F6B61">
        <w:t>e.g.</w:t>
      </w:r>
      <w:r>
        <w:t xml:space="preserve"> “Emergency Room”, “</w:t>
      </w:r>
      <w:r w:rsidR="005F6B61">
        <w:t>General medical ward</w:t>
      </w:r>
      <w:r>
        <w:t xml:space="preserve">” and “Surgical intensive care unit”.  This will be </w:t>
      </w:r>
      <w:r w:rsidR="005F6B61">
        <w:t>particular</w:t>
      </w:r>
      <w:r w:rsidR="00441A9A">
        <w:t>ly</w:t>
      </w:r>
      <w:r w:rsidR="005F6B61">
        <w:t xml:space="preserve"> </w:t>
      </w:r>
      <w:r>
        <w:t>useful</w:t>
      </w:r>
      <w:r w:rsidR="00F63C1B">
        <w:t xml:space="preserve"> if the user</w:t>
      </w:r>
      <w:r>
        <w:t xml:space="preserve"> plan</w:t>
      </w:r>
      <w:r w:rsidR="00F63C1B">
        <w:t>s</w:t>
      </w:r>
      <w:r>
        <w:t xml:space="preserve"> to use WHONET for purposes of clinical reporting or data analysis</w:t>
      </w:r>
      <w:r w:rsidR="005F6B61">
        <w:t xml:space="preserve"> on site</w:t>
      </w:r>
      <w:r>
        <w:t>.</w:t>
      </w:r>
      <w:r w:rsidR="005F6B61">
        <w:t xml:space="preserve"> If data for this variable </w:t>
      </w:r>
      <w:r w:rsidR="00DB7EE8">
        <w:t>are to</w:t>
      </w:r>
      <w:r w:rsidR="005F6B61">
        <w:t xml:space="preserve"> be combined at the national level </w:t>
      </w:r>
      <w:r w:rsidR="00DB7EE8">
        <w:t xml:space="preserve">with data </w:t>
      </w:r>
      <w:r w:rsidR="005F6B61">
        <w:t xml:space="preserve">from </w:t>
      </w:r>
      <w:r w:rsidR="005F6B61">
        <w:lastRenderedPageBreak/>
        <w:t>different facilities, a standardized list of patient care areas must be implemented by the coordinating centre.</w:t>
      </w:r>
    </w:p>
    <w:p w14:paraId="057ED781" w14:textId="77777777" w:rsidR="005F6B61" w:rsidRDefault="005F6B61" w:rsidP="00967FAC">
      <w:pPr>
        <w:pStyle w:val="Bodytextbullet"/>
      </w:pPr>
      <w:r w:rsidRPr="001A0499">
        <w:rPr>
          <w:b/>
        </w:rPr>
        <w:t>Antibiotics:</w:t>
      </w:r>
      <w:r>
        <w:t xml:space="preserve">  </w:t>
      </w:r>
      <w:r w:rsidR="005E4F60">
        <w:t>A</w:t>
      </w:r>
      <w:r>
        <w:t xml:space="preserve">ntibiotics </w:t>
      </w:r>
      <w:r w:rsidR="005E4F60">
        <w:t xml:space="preserve">may be added or removed </w:t>
      </w:r>
      <w:r>
        <w:t>from the anti</w:t>
      </w:r>
      <w:r w:rsidR="00F63C1B">
        <w:t>biotic list established for the</w:t>
      </w:r>
      <w:r>
        <w:t xml:space="preserve"> laboratory configuration so that it more closely matches the set of antibiotics tested on site or considered under surv</w:t>
      </w:r>
      <w:r w:rsidR="00230FA7">
        <w:t>eillance at the national level.</w:t>
      </w:r>
      <w:r>
        <w:t xml:space="preserve"> </w:t>
      </w:r>
      <w:r w:rsidR="005E4F60">
        <w:t>“A</w:t>
      </w:r>
      <w:r>
        <w:t>ntibiotic panels”</w:t>
      </w:r>
      <w:r w:rsidR="005E4F60">
        <w:t xml:space="preserve"> may be defined</w:t>
      </w:r>
      <w:r>
        <w:t>, which control the organism-specific list of antibiotics displayed to the user during data entry or “antibiotic profiles” used in the WHO</w:t>
      </w:r>
      <w:r w:rsidR="00230FA7">
        <w:t>NET data analysis module.</w:t>
      </w:r>
      <w:r>
        <w:t xml:space="preserve"> The breakpoints automatically defined by WHONET can be reviewed and edited in this module.</w:t>
      </w:r>
    </w:p>
    <w:p w14:paraId="6E1E1806" w14:textId="77777777" w:rsidR="00600AD6" w:rsidRDefault="008568DF" w:rsidP="00967FAC">
      <w:pPr>
        <w:pStyle w:val="BodyText"/>
      </w:pPr>
      <w:r>
        <w:t>Further details on these configuration fea</w:t>
      </w:r>
      <w:r w:rsidR="00F63C1B">
        <w:t>tures can be found in Annex</w:t>
      </w:r>
      <w:r w:rsidR="00E42F09">
        <w:t xml:space="preserve"> </w:t>
      </w:r>
      <w:r w:rsidR="00C3764D" w:rsidRPr="00A919C6">
        <w:t>1</w:t>
      </w:r>
      <w:r w:rsidRPr="00A919C6">
        <w:t>.</w:t>
      </w:r>
    </w:p>
    <w:p w14:paraId="138C85CF" w14:textId="77777777" w:rsidR="00600AD6" w:rsidRDefault="00600AD6" w:rsidP="00600AD6">
      <w:pPr>
        <w:rPr>
          <w:rFonts w:asciiTheme="minorHAnsi" w:hAnsiTheme="minorHAnsi" w:cs="Arial"/>
          <w:sz w:val="22"/>
          <w:szCs w:val="22"/>
        </w:rPr>
      </w:pPr>
      <w:r>
        <w:br w:type="page"/>
      </w:r>
    </w:p>
    <w:p w14:paraId="10F611C5" w14:textId="1C4CCA82" w:rsidR="00C21EE1" w:rsidRPr="001132C1" w:rsidRDefault="00FC3336" w:rsidP="00D55252">
      <w:pPr>
        <w:pStyle w:val="Heading1"/>
        <w:rPr>
          <w:lang w:val="en-GB"/>
        </w:rPr>
      </w:pPr>
      <w:bookmarkStart w:id="18" w:name="_Toc466271228"/>
      <w:bookmarkStart w:id="19" w:name="_Toc170728116"/>
      <w:r>
        <w:rPr>
          <w:lang w:val="en-GB"/>
        </w:rPr>
        <w:lastRenderedPageBreak/>
        <w:t xml:space="preserve">WHONET </w:t>
      </w:r>
      <w:r w:rsidR="00441A9A">
        <w:rPr>
          <w:lang w:val="en-GB"/>
        </w:rPr>
        <w:t>d</w:t>
      </w:r>
      <w:r w:rsidR="000A35CD">
        <w:rPr>
          <w:lang w:val="en-GB"/>
        </w:rPr>
        <w:t xml:space="preserve">ata entry for </w:t>
      </w:r>
      <w:bookmarkEnd w:id="18"/>
      <w:r w:rsidR="00E756A0">
        <w:rPr>
          <w:lang w:val="en-GB"/>
        </w:rPr>
        <w:t>EGASP</w:t>
      </w:r>
      <w:bookmarkEnd w:id="19"/>
    </w:p>
    <w:p w14:paraId="4B14758D" w14:textId="77777777" w:rsidR="00C21EE1" w:rsidRPr="00D55252" w:rsidRDefault="00C21EE1" w:rsidP="00D55252">
      <w:pPr>
        <w:pStyle w:val="Heading2"/>
        <w:numPr>
          <w:ilvl w:val="1"/>
          <w:numId w:val="10"/>
        </w:numPr>
        <w:ind w:left="709" w:hanging="709"/>
      </w:pPr>
      <w:bookmarkStart w:id="20" w:name="_Toc466271229"/>
      <w:bookmarkStart w:id="21" w:name="_Toc170728117"/>
      <w:r w:rsidRPr="00D55252">
        <w:t>General</w:t>
      </w:r>
      <w:bookmarkEnd w:id="20"/>
      <w:bookmarkEnd w:id="21"/>
    </w:p>
    <w:p w14:paraId="6AEE8AE5" w14:textId="77777777" w:rsidR="00F9187F" w:rsidRDefault="00F9187F" w:rsidP="00D55252">
      <w:pPr>
        <w:pStyle w:val="Heading2"/>
        <w:ind w:left="360"/>
      </w:pPr>
    </w:p>
    <w:p w14:paraId="5C5369E0" w14:textId="77777777" w:rsidR="000A0613" w:rsidRDefault="00F63C1B" w:rsidP="00967FAC">
      <w:pPr>
        <w:pStyle w:val="BodyText"/>
      </w:pPr>
      <w:r>
        <w:t>Before</w:t>
      </w:r>
      <w:r w:rsidR="00C21EE1">
        <w:t xml:space="preserve"> start</w:t>
      </w:r>
      <w:r w:rsidR="00230FA7">
        <w:t>ing “</w:t>
      </w:r>
      <w:r>
        <w:t>Dat</w:t>
      </w:r>
      <w:r w:rsidR="00230FA7">
        <w:t>a entry”</w:t>
      </w:r>
      <w:r>
        <w:t xml:space="preserve"> the user should</w:t>
      </w:r>
      <w:r w:rsidR="00C21EE1">
        <w:t xml:space="preserve"> open the corresponding laboratory configuration.</w:t>
      </w:r>
    </w:p>
    <w:p w14:paraId="0711ABCB" w14:textId="77777777" w:rsidR="000A0613" w:rsidRPr="0015573C" w:rsidRDefault="000A0613" w:rsidP="00967FAC">
      <w:pPr>
        <w:pStyle w:val="Bodytextarrow"/>
      </w:pPr>
      <w:r w:rsidRPr="0015573C">
        <w:t xml:space="preserve">Click on main menu, </w:t>
      </w:r>
      <w:r w:rsidR="007154CA" w:rsidRPr="0015573C">
        <w:t>“</w:t>
      </w:r>
      <w:r w:rsidRPr="0015573C">
        <w:t>File</w:t>
      </w:r>
      <w:r w:rsidR="007154CA" w:rsidRPr="0015573C">
        <w:t>”</w:t>
      </w:r>
      <w:r w:rsidRPr="0015573C">
        <w:t xml:space="preserve">, </w:t>
      </w:r>
      <w:r w:rsidR="007154CA" w:rsidRPr="0015573C">
        <w:t>“</w:t>
      </w:r>
      <w:r w:rsidRPr="0015573C">
        <w:t>Open laboratory</w:t>
      </w:r>
      <w:r w:rsidR="007154CA" w:rsidRPr="0015573C">
        <w:t>”</w:t>
      </w:r>
      <w:r w:rsidRPr="0015573C">
        <w:t>. Select lab</w:t>
      </w:r>
      <w:r w:rsidR="007154CA" w:rsidRPr="0015573C">
        <w:t>oratory</w:t>
      </w:r>
      <w:r w:rsidR="00230FA7">
        <w:t xml:space="preserve"> and click on “Open laboratory”</w:t>
      </w:r>
      <w:r w:rsidRPr="0015573C">
        <w:t>.</w:t>
      </w:r>
    </w:p>
    <w:p w14:paraId="4BF8300F" w14:textId="77777777" w:rsidR="000A0613" w:rsidRDefault="00C21EE1" w:rsidP="00967FAC">
      <w:pPr>
        <w:pStyle w:val="BodyText"/>
      </w:pPr>
      <w:r>
        <w:t>WHONET uses the data structure defined in the current laboratory configuration and will use the breakpoints as defined i</w:t>
      </w:r>
      <w:r w:rsidR="000A0613">
        <w:t>n the laboratory configuration.</w:t>
      </w:r>
    </w:p>
    <w:p w14:paraId="0B589AD3" w14:textId="77777777" w:rsidR="00445D23" w:rsidRPr="00C3764D" w:rsidRDefault="005E4F60" w:rsidP="00967FAC">
      <w:pPr>
        <w:pStyle w:val="Bodytextarrow"/>
      </w:pPr>
      <w:r>
        <w:t>S</w:t>
      </w:r>
      <w:r w:rsidR="00C21EE1">
        <w:t>elect a new data file or open an existing file.</w:t>
      </w:r>
      <w:r>
        <w:t xml:space="preserve"> T</w:t>
      </w:r>
      <w:r w:rsidR="00C21EE1">
        <w:t xml:space="preserve">o make a new file, </w:t>
      </w:r>
      <w:r w:rsidR="002B4DAE">
        <w:t>select</w:t>
      </w:r>
      <w:r w:rsidR="00C21EE1">
        <w:t xml:space="preserve"> </w:t>
      </w:r>
      <w:r w:rsidR="00230FA7">
        <w:t>“</w:t>
      </w:r>
      <w:r w:rsidR="00C21EE1" w:rsidRPr="00C3764D">
        <w:t>Data Entry</w:t>
      </w:r>
      <w:r w:rsidR="00230FA7">
        <w:t>”</w:t>
      </w:r>
      <w:r w:rsidR="00C21EE1">
        <w:t xml:space="preserve"> </w:t>
      </w:r>
      <w:r w:rsidR="002B4DAE">
        <w:t xml:space="preserve">from the </w:t>
      </w:r>
      <w:r w:rsidR="00C21EE1">
        <w:t xml:space="preserve">menu </w:t>
      </w:r>
      <w:r w:rsidR="002B4DAE">
        <w:t xml:space="preserve">bar </w:t>
      </w:r>
      <w:r w:rsidR="00C21EE1">
        <w:t xml:space="preserve">and then select </w:t>
      </w:r>
      <w:r w:rsidR="00230FA7">
        <w:t>“</w:t>
      </w:r>
      <w:r w:rsidR="00C21EE1" w:rsidRPr="00C3764D">
        <w:t>New Data File</w:t>
      </w:r>
      <w:r w:rsidR="00230FA7">
        <w:t>”</w:t>
      </w:r>
      <w:r w:rsidR="00445D23" w:rsidRPr="00C3764D">
        <w:t>.</w:t>
      </w:r>
    </w:p>
    <w:p w14:paraId="61384F4A" w14:textId="77777777" w:rsidR="00445D23" w:rsidRDefault="00C21EE1" w:rsidP="00967FAC">
      <w:pPr>
        <w:pStyle w:val="BodyText"/>
      </w:pPr>
      <w:r>
        <w:t xml:space="preserve">The screen Data entry (below) appears. </w:t>
      </w:r>
    </w:p>
    <w:p w14:paraId="4846C464" w14:textId="406137DC" w:rsidR="00C21EE1" w:rsidRDefault="005E4F60" w:rsidP="00967FAC">
      <w:pPr>
        <w:pStyle w:val="Bodytextarrow"/>
      </w:pPr>
      <w:r>
        <w:t>E</w:t>
      </w:r>
      <w:r w:rsidR="00C21EE1">
        <w:t xml:space="preserve">nter the name of the file to </w:t>
      </w:r>
      <w:r>
        <w:t xml:space="preserve">be </w:t>
      </w:r>
      <w:r w:rsidR="007154CA">
        <w:t>create</w:t>
      </w:r>
      <w:r>
        <w:t>d</w:t>
      </w:r>
      <w:r w:rsidR="00C46204">
        <w:t>, for example</w:t>
      </w:r>
      <w:r w:rsidR="006C0411">
        <w:t xml:space="preserve"> “</w:t>
      </w:r>
      <w:r w:rsidR="00BE505C">
        <w:t>WHO-EGASP-202</w:t>
      </w:r>
      <w:r w:rsidR="004647A5">
        <w:t>4</w:t>
      </w:r>
      <w:r w:rsidR="00BE505C">
        <w:t>.sqlite</w:t>
      </w:r>
      <w:r w:rsidR="006C0411">
        <w:t>”</w:t>
      </w:r>
    </w:p>
    <w:p w14:paraId="5DE9097E" w14:textId="5B013681" w:rsidR="00C21EE1" w:rsidRPr="001132C1" w:rsidRDefault="00952A03" w:rsidP="007B671B">
      <w:pPr>
        <w:pStyle w:val="BodyText"/>
        <w:jc w:val="center"/>
        <w:rPr>
          <w:lang w:val="en-GB"/>
        </w:rPr>
      </w:pPr>
      <w:r>
        <w:rPr>
          <w:noProof/>
        </w:rPr>
        <w:drawing>
          <wp:inline distT="0" distB="0" distL="0" distR="0" wp14:anchorId="5894DAB6" wp14:editId="349E65A4">
            <wp:extent cx="5732145" cy="3289300"/>
            <wp:effectExtent l="0" t="0" r="1905" b="6350"/>
            <wp:docPr id="339388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88766" name=""/>
                    <pic:cNvPicPr/>
                  </pic:nvPicPr>
                  <pic:blipFill>
                    <a:blip r:embed="rId21"/>
                    <a:stretch>
                      <a:fillRect/>
                    </a:stretch>
                  </pic:blipFill>
                  <pic:spPr>
                    <a:xfrm>
                      <a:off x="0" y="0"/>
                      <a:ext cx="5732145" cy="3289300"/>
                    </a:xfrm>
                    <a:prstGeom prst="rect">
                      <a:avLst/>
                    </a:prstGeom>
                  </pic:spPr>
                </pic:pic>
              </a:graphicData>
            </a:graphic>
          </wp:inline>
        </w:drawing>
      </w:r>
    </w:p>
    <w:p w14:paraId="501E0675" w14:textId="77777777" w:rsidR="00C46204" w:rsidRDefault="00C46204" w:rsidP="005C5DC1">
      <w:pPr>
        <w:pStyle w:val="textbody"/>
        <w:jc w:val="both"/>
        <w:rPr>
          <w:rFonts w:ascii="Arial" w:hAnsi="Arial"/>
          <w:sz w:val="20"/>
        </w:rPr>
      </w:pPr>
    </w:p>
    <w:p w14:paraId="2AEA8E9F" w14:textId="77777777" w:rsidR="005C5DC1" w:rsidRDefault="0084416C" w:rsidP="00967FAC">
      <w:pPr>
        <w:pStyle w:val="BodyText"/>
      </w:pPr>
      <w:r>
        <w:t>By default, d</w:t>
      </w:r>
      <w:r w:rsidR="00C21EE1">
        <w:t>ata files are stored in</w:t>
      </w:r>
      <w:r w:rsidR="005C5DC1">
        <w:t xml:space="preserve"> the </w:t>
      </w:r>
      <w:r w:rsidR="00027485">
        <w:t>C</w:t>
      </w:r>
      <w:r>
        <w:t>:\</w:t>
      </w:r>
      <w:r w:rsidR="00422AD0">
        <w:t>WHONET</w:t>
      </w:r>
      <w:r>
        <w:t>\Data</w:t>
      </w:r>
      <w:r w:rsidR="00243F1B">
        <w:t>\</w:t>
      </w:r>
      <w:r w:rsidR="005C5DC1">
        <w:t xml:space="preserve"> folder</w:t>
      </w:r>
      <w:r w:rsidR="00D1145E">
        <w:t>, but the user</w:t>
      </w:r>
      <w:r w:rsidR="00243F1B">
        <w:t xml:space="preserve"> may use</w:t>
      </w:r>
      <w:r>
        <w:t xml:space="preserve"> the “Drives” an</w:t>
      </w:r>
      <w:r w:rsidR="00D1145E">
        <w:t>d “Folder” boxes to specify a</w:t>
      </w:r>
      <w:r>
        <w:t xml:space="preserve"> preferred data file location.</w:t>
      </w:r>
    </w:p>
    <w:p w14:paraId="036E349E" w14:textId="77777777" w:rsidR="00C21EE1" w:rsidRDefault="00C21EE1" w:rsidP="00967FAC">
      <w:pPr>
        <w:pStyle w:val="Bodytextarrow"/>
      </w:pPr>
      <w:r>
        <w:t xml:space="preserve">Click </w:t>
      </w:r>
      <w:r w:rsidRPr="000527AB">
        <w:t>OK</w:t>
      </w:r>
      <w:r>
        <w:t xml:space="preserve"> to proceed with data entry.</w:t>
      </w:r>
    </w:p>
    <w:p w14:paraId="3A3398A8" w14:textId="14D82BEF" w:rsidR="00C21EE1" w:rsidRDefault="005E4F60" w:rsidP="00967FAC">
      <w:pPr>
        <w:pStyle w:val="BodyText"/>
      </w:pPr>
      <w:r>
        <w:rPr>
          <w:lang w:val="en-GB"/>
        </w:rPr>
        <w:t xml:space="preserve">Once </w:t>
      </w:r>
      <w:r w:rsidRPr="001132C1">
        <w:rPr>
          <w:lang w:val="en-GB"/>
        </w:rPr>
        <w:t>a data fi</w:t>
      </w:r>
      <w:r>
        <w:rPr>
          <w:lang w:val="en-GB"/>
        </w:rPr>
        <w:t>le</w:t>
      </w:r>
      <w:r w:rsidRPr="001132C1">
        <w:rPr>
          <w:lang w:val="en-GB"/>
        </w:rPr>
        <w:t xml:space="preserve"> </w:t>
      </w:r>
      <w:r w:rsidR="00C21EE1" w:rsidRPr="001132C1">
        <w:rPr>
          <w:lang w:val="en-GB"/>
        </w:rPr>
        <w:t>ha</w:t>
      </w:r>
      <w:r>
        <w:rPr>
          <w:lang w:val="en-GB"/>
        </w:rPr>
        <w:t>s been</w:t>
      </w:r>
      <w:r w:rsidR="00C21EE1" w:rsidRPr="001132C1">
        <w:rPr>
          <w:lang w:val="en-GB"/>
        </w:rPr>
        <w:t xml:space="preserve"> opened or created</w:t>
      </w:r>
      <w:r w:rsidR="001A0499">
        <w:rPr>
          <w:lang w:val="en-GB"/>
        </w:rPr>
        <w:t>, the “Data e</w:t>
      </w:r>
      <w:r w:rsidR="00D74BAF">
        <w:rPr>
          <w:lang w:val="en-GB"/>
        </w:rPr>
        <w:t>ntry</w:t>
      </w:r>
      <w:r w:rsidR="001A0499">
        <w:rPr>
          <w:lang w:val="en-GB"/>
        </w:rPr>
        <w:t>”</w:t>
      </w:r>
      <w:r w:rsidR="00D74BAF">
        <w:rPr>
          <w:lang w:val="en-GB"/>
        </w:rPr>
        <w:t xml:space="preserve"> screen (below</w:t>
      </w:r>
      <w:r w:rsidR="00C21EE1" w:rsidRPr="001132C1">
        <w:rPr>
          <w:lang w:val="en-GB"/>
        </w:rPr>
        <w:t>) will appear.</w:t>
      </w:r>
      <w:r w:rsidR="00BE505C">
        <w:rPr>
          <w:lang w:val="en-GB"/>
        </w:rPr>
        <w:t xml:space="preserve"> </w:t>
      </w:r>
      <w:r w:rsidR="00C21EE1">
        <w:t>Data are entered in the fields on the left half of the screen.</w:t>
      </w:r>
    </w:p>
    <w:p w14:paraId="4D2433A0" w14:textId="40B81E7A" w:rsidR="00C21EE1" w:rsidRDefault="007D7394" w:rsidP="0015103F">
      <w:pPr>
        <w:pStyle w:val="textbody"/>
        <w:jc w:val="center"/>
        <w:rPr>
          <w:rFonts w:ascii="Arial" w:hAnsi="Arial"/>
          <w:sz w:val="22"/>
        </w:rPr>
      </w:pPr>
      <w:r>
        <w:rPr>
          <w:noProof/>
        </w:rPr>
        <w:lastRenderedPageBreak/>
        <w:drawing>
          <wp:inline distT="0" distB="0" distL="0" distR="0" wp14:anchorId="7275F713" wp14:editId="707414AE">
            <wp:extent cx="5732145" cy="3098800"/>
            <wp:effectExtent l="0" t="0" r="1905" b="6350"/>
            <wp:docPr id="194030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04065" name=""/>
                    <pic:cNvPicPr/>
                  </pic:nvPicPr>
                  <pic:blipFill>
                    <a:blip r:embed="rId22"/>
                    <a:stretch>
                      <a:fillRect/>
                    </a:stretch>
                  </pic:blipFill>
                  <pic:spPr>
                    <a:xfrm>
                      <a:off x="0" y="0"/>
                      <a:ext cx="5732145" cy="3098800"/>
                    </a:xfrm>
                    <a:prstGeom prst="rect">
                      <a:avLst/>
                    </a:prstGeom>
                  </pic:spPr>
                </pic:pic>
              </a:graphicData>
            </a:graphic>
          </wp:inline>
        </w:drawing>
      </w:r>
    </w:p>
    <w:p w14:paraId="00DD5D4A" w14:textId="77777777" w:rsidR="00C21EE1" w:rsidRDefault="00C21EE1">
      <w:pPr>
        <w:pStyle w:val="textbody"/>
        <w:jc w:val="both"/>
        <w:rPr>
          <w:rFonts w:ascii="Arial" w:hAnsi="Arial"/>
          <w:sz w:val="22"/>
        </w:rPr>
      </w:pPr>
    </w:p>
    <w:p w14:paraId="4750A365" w14:textId="77777777" w:rsidR="00C21EE1" w:rsidRDefault="00C21EE1" w:rsidP="00967FAC">
      <w:pPr>
        <w:pStyle w:val="BodyText"/>
      </w:pPr>
      <w:r>
        <w:t>General explanation for data entry:</w:t>
      </w:r>
    </w:p>
    <w:p w14:paraId="7B99266A" w14:textId="77777777" w:rsidR="00C21EE1" w:rsidRDefault="00C21EE1" w:rsidP="00967FAC">
      <w:pPr>
        <w:pStyle w:val="BodyText"/>
      </w:pPr>
      <w:r>
        <w:t>When the cursor jumps to a field for data entry, brief instructions and recommended data codes for that field appear at the lower right of the screen.</w:t>
      </w:r>
    </w:p>
    <w:p w14:paraId="3D63BC2D" w14:textId="77777777" w:rsidR="00C21EE1" w:rsidRDefault="00C21EE1" w:rsidP="00967FAC">
      <w:pPr>
        <w:pStyle w:val="BodyText"/>
      </w:pPr>
      <w:r>
        <w:t xml:space="preserve">After entering data in one field, </w:t>
      </w:r>
      <w:r w:rsidR="0045186F">
        <w:t>there are</w:t>
      </w:r>
      <w:r>
        <w:t xml:space="preserve"> four ways of moving to the next field:</w:t>
      </w:r>
    </w:p>
    <w:p w14:paraId="3636D401" w14:textId="77777777" w:rsidR="00C21EE1" w:rsidRDefault="00C21EE1" w:rsidP="00967FAC">
      <w:pPr>
        <w:pStyle w:val="Bodytextarrow"/>
      </w:pPr>
      <w:r>
        <w:t>press the &lt;Enter&gt; key; or</w:t>
      </w:r>
    </w:p>
    <w:p w14:paraId="706FF30B" w14:textId="77777777" w:rsidR="00C21EE1" w:rsidRDefault="00C21EE1" w:rsidP="00967FAC">
      <w:pPr>
        <w:pStyle w:val="Bodytextarrow"/>
      </w:pPr>
      <w:r>
        <w:t>press the &lt;Tab&gt; key; or</w:t>
      </w:r>
    </w:p>
    <w:p w14:paraId="11CBCE2E" w14:textId="77777777" w:rsidR="00C21EE1" w:rsidRDefault="00C21EE1" w:rsidP="00967FAC">
      <w:pPr>
        <w:pStyle w:val="Bodytextarrow"/>
      </w:pPr>
      <w:r>
        <w:t>press the arrow keys; or</w:t>
      </w:r>
    </w:p>
    <w:p w14:paraId="52B184D0" w14:textId="77777777" w:rsidR="00C21EE1" w:rsidRDefault="00C21EE1" w:rsidP="00967FAC">
      <w:pPr>
        <w:pStyle w:val="Bodytextarrow"/>
      </w:pPr>
      <w:r>
        <w:t>use the mouse.</w:t>
      </w:r>
    </w:p>
    <w:p w14:paraId="7F41120D" w14:textId="77777777" w:rsidR="00C21EE1" w:rsidRDefault="0045186F" w:rsidP="00967FAC">
      <w:pPr>
        <w:pStyle w:val="BodyText"/>
      </w:pPr>
      <w:r>
        <w:t>E</w:t>
      </w:r>
      <w:r w:rsidR="00C21EE1">
        <w:t xml:space="preserve">nter </w:t>
      </w:r>
      <w:r w:rsidR="00C21EE1">
        <w:rPr>
          <w:b/>
        </w:rPr>
        <w:t>dates</w:t>
      </w:r>
      <w:r w:rsidR="00C21EE1">
        <w:t xml:space="preserve"> in the same form</w:t>
      </w:r>
      <w:r w:rsidR="00D1145E">
        <w:t>at as the default format on the</w:t>
      </w:r>
      <w:r w:rsidR="00C21EE1">
        <w:t xml:space="preserve"> computer</w:t>
      </w:r>
      <w:r w:rsidR="00D1145E">
        <w:t xml:space="preserve"> in use</w:t>
      </w:r>
      <w:r w:rsidR="00C21EE1">
        <w:t>, namely as day/month/year or month/day/y</w:t>
      </w:r>
      <w:r w:rsidR="00D1145E">
        <w:t xml:space="preserve">ear or year/month/day.  </w:t>
      </w:r>
      <w:r w:rsidR="00535C61">
        <w:t xml:space="preserve">After entering </w:t>
      </w:r>
      <w:r w:rsidR="00C21EE1">
        <w:t>a date and mov</w:t>
      </w:r>
      <w:r w:rsidR="00535C61">
        <w:t xml:space="preserve">ing </w:t>
      </w:r>
      <w:r w:rsidR="00C21EE1">
        <w:t>to the next field,</w:t>
      </w:r>
      <w:r w:rsidR="00535C61">
        <w:t xml:space="preserve"> the user </w:t>
      </w:r>
      <w:r w:rsidR="00D1145E">
        <w:t>should</w:t>
      </w:r>
      <w:r w:rsidR="00C21EE1">
        <w:t xml:space="preserve"> check that the date has been interpreted correctly – WHONET automatically converts the numeric </w:t>
      </w:r>
      <w:r w:rsidR="001A0499">
        <w:t>month</w:t>
      </w:r>
      <w:r w:rsidR="00C21EE1">
        <w:t xml:space="preserve"> to the name of the month. When entering a date, the year can be entered as a 2- or 4-digit date. The numbers indicating day, month a</w:t>
      </w:r>
      <w:r w:rsidR="006B723C">
        <w:t xml:space="preserve">nd year must be separated by a </w:t>
      </w:r>
      <w:r w:rsidR="00C21EE1">
        <w:t>/</w:t>
      </w:r>
      <w:r w:rsidR="00243F1B">
        <w:t>,</w:t>
      </w:r>
      <w:r w:rsidR="00C21EE1">
        <w:t xml:space="preserve"> </w:t>
      </w:r>
      <w:r w:rsidR="00243F1B">
        <w:t>hyphen, or space.</w:t>
      </w:r>
    </w:p>
    <w:p w14:paraId="2A3671BB" w14:textId="77777777" w:rsidR="00C21EE1" w:rsidRPr="001132C1" w:rsidRDefault="00C21EE1" w:rsidP="00D55252">
      <w:pPr>
        <w:pStyle w:val="Heading2"/>
        <w:numPr>
          <w:ilvl w:val="1"/>
          <w:numId w:val="10"/>
        </w:numPr>
        <w:ind w:left="709" w:hanging="709"/>
      </w:pPr>
      <w:bookmarkStart w:id="22" w:name="_Toc466271231"/>
      <w:bookmarkStart w:id="23" w:name="_Toc170728118"/>
      <w:r w:rsidRPr="001132C1">
        <w:t>View database</w:t>
      </w:r>
      <w:bookmarkEnd w:id="22"/>
      <w:bookmarkEnd w:id="23"/>
    </w:p>
    <w:p w14:paraId="05B5E223" w14:textId="77777777" w:rsidR="005C5DC1" w:rsidRDefault="00445D23" w:rsidP="00967FAC">
      <w:pPr>
        <w:pStyle w:val="Bodytextarrow"/>
      </w:pPr>
      <w:r>
        <w:t xml:space="preserve">From menu choose, </w:t>
      </w:r>
      <w:r w:rsidR="00266A2D">
        <w:t>“Data entry”, “Open data file”</w:t>
      </w:r>
      <w:r w:rsidR="00BE0B0C">
        <w:t xml:space="preserve">, select </w:t>
      </w:r>
      <w:r w:rsidR="00172730">
        <w:t xml:space="preserve">data </w:t>
      </w:r>
      <w:r w:rsidR="00266A2D">
        <w:t>file and click on “Open”</w:t>
      </w:r>
      <w:r w:rsidR="00BE0B0C">
        <w:t xml:space="preserve">. </w:t>
      </w:r>
    </w:p>
    <w:p w14:paraId="2DB10BF8" w14:textId="77777777" w:rsidR="005C5DC1" w:rsidRDefault="00C21EE1" w:rsidP="00967FAC">
      <w:pPr>
        <w:pStyle w:val="Bodytextarrow"/>
      </w:pPr>
      <w:r w:rsidRPr="001132C1">
        <w:t xml:space="preserve">To check the records </w:t>
      </w:r>
      <w:r w:rsidR="000F6320">
        <w:t>once</w:t>
      </w:r>
      <w:r w:rsidRPr="001132C1">
        <w:t xml:space="preserve"> data entry</w:t>
      </w:r>
      <w:r w:rsidR="000F6320">
        <w:t xml:space="preserve"> has been performed</w:t>
      </w:r>
      <w:r w:rsidR="00317A93">
        <w:t>,</w:t>
      </w:r>
      <w:r w:rsidRPr="001132C1">
        <w:t xml:space="preserve"> click on </w:t>
      </w:r>
      <w:r w:rsidR="00266A2D">
        <w:t>“</w:t>
      </w:r>
      <w:r w:rsidRPr="00C67712">
        <w:t xml:space="preserve">View </w:t>
      </w:r>
      <w:r w:rsidR="00E6035A" w:rsidRPr="00C67712">
        <w:t>d</w:t>
      </w:r>
      <w:r w:rsidRPr="00C67712">
        <w:t>atabase</w:t>
      </w:r>
      <w:r w:rsidR="00266A2D">
        <w:t>”</w:t>
      </w:r>
      <w:r w:rsidR="00317A93">
        <w:t>:</w:t>
      </w:r>
      <w:r w:rsidRPr="001132C1">
        <w:t xml:space="preserve"> the screen below appears. </w:t>
      </w:r>
    </w:p>
    <w:p w14:paraId="5AA6D019" w14:textId="4B5D4754" w:rsidR="00C21EE1" w:rsidRPr="007075E4" w:rsidRDefault="000F6320" w:rsidP="007075E4">
      <w:pPr>
        <w:pStyle w:val="Bodytextarrow"/>
      </w:pPr>
      <w:r>
        <w:t xml:space="preserve">To </w:t>
      </w:r>
      <w:r w:rsidR="00C21EE1" w:rsidRPr="001132C1">
        <w:t xml:space="preserve">make changes, select the record to </w:t>
      </w:r>
      <w:r>
        <w:t xml:space="preserve">be </w:t>
      </w:r>
      <w:r w:rsidR="00C21EE1" w:rsidRPr="001132C1">
        <w:t>change</w:t>
      </w:r>
      <w:r>
        <w:t>d</w:t>
      </w:r>
      <w:r w:rsidR="00C21EE1" w:rsidRPr="001132C1">
        <w:t xml:space="preserve"> and </w:t>
      </w:r>
      <w:r>
        <w:t xml:space="preserve">click </w:t>
      </w:r>
      <w:r w:rsidR="00C67712" w:rsidRPr="00C67712">
        <w:t>“</w:t>
      </w:r>
      <w:r w:rsidR="00C67712">
        <w:t>Edit</w:t>
      </w:r>
      <w:r w:rsidR="00C21EE1" w:rsidRPr="00C67712">
        <w:t xml:space="preserve"> </w:t>
      </w:r>
      <w:r w:rsidR="00C67712">
        <w:t>isolate</w:t>
      </w:r>
      <w:r w:rsidR="00C21EE1" w:rsidRPr="00C67712">
        <w:t>.</w:t>
      </w:r>
      <w:r w:rsidR="00C67712">
        <w:t>”</w:t>
      </w:r>
      <w:r w:rsidR="00C21EE1" w:rsidRPr="001132C1">
        <w:t xml:space="preserve"> </w:t>
      </w:r>
      <w:r>
        <w:t>T</w:t>
      </w:r>
      <w:r w:rsidR="00C21EE1" w:rsidRPr="001132C1">
        <w:t xml:space="preserve">he data entry screen </w:t>
      </w:r>
      <w:r>
        <w:t xml:space="preserve">will appear </w:t>
      </w:r>
      <w:proofErr w:type="gramStart"/>
      <w:r w:rsidR="00C21EE1" w:rsidRPr="001132C1">
        <w:t>agai</w:t>
      </w:r>
      <w:r>
        <w:t>n</w:t>
      </w:r>
      <w:proofErr w:type="gramEnd"/>
      <w:r>
        <w:t xml:space="preserve"> and</w:t>
      </w:r>
      <w:r w:rsidR="00C21EE1" w:rsidRPr="001132C1">
        <w:t xml:space="preserve"> changes</w:t>
      </w:r>
      <w:r w:rsidR="0007482B">
        <w:t xml:space="preserve"> can be en</w:t>
      </w:r>
      <w:r>
        <w:t>tered</w:t>
      </w:r>
      <w:r w:rsidR="00C21EE1" w:rsidRPr="001132C1">
        <w:t xml:space="preserve">. </w:t>
      </w:r>
      <w:r w:rsidR="0007482B">
        <w:t xml:space="preserve">Click </w:t>
      </w:r>
      <w:r w:rsidR="00C67712" w:rsidRPr="00C67712">
        <w:t>“</w:t>
      </w:r>
      <w:r w:rsidR="00266A2D">
        <w:t>Save i</w:t>
      </w:r>
      <w:r w:rsidR="00C21EE1" w:rsidRPr="00C67712">
        <w:t>solate</w:t>
      </w:r>
      <w:r w:rsidR="00C67712" w:rsidRPr="00C67712">
        <w:t>”</w:t>
      </w:r>
      <w:r w:rsidR="00F0532A">
        <w:t xml:space="preserve"> to save these changes.</w:t>
      </w:r>
    </w:p>
    <w:p w14:paraId="6CE0456D" w14:textId="263377E9" w:rsidR="00834AA2" w:rsidRPr="001132C1" w:rsidRDefault="00E73DD4" w:rsidP="007075E4">
      <w:pPr>
        <w:pStyle w:val="BodyText"/>
        <w:jc w:val="center"/>
        <w:rPr>
          <w:lang w:val="en-GB"/>
        </w:rPr>
      </w:pPr>
      <w:r>
        <w:rPr>
          <w:noProof/>
        </w:rPr>
        <w:lastRenderedPageBreak/>
        <w:drawing>
          <wp:inline distT="0" distB="0" distL="0" distR="0" wp14:anchorId="1F8BDCA5" wp14:editId="5E34497C">
            <wp:extent cx="5732145" cy="2619375"/>
            <wp:effectExtent l="0" t="0" r="1905" b="9525"/>
            <wp:docPr id="83154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44161" name=""/>
                    <pic:cNvPicPr/>
                  </pic:nvPicPr>
                  <pic:blipFill>
                    <a:blip r:embed="rId23"/>
                    <a:stretch>
                      <a:fillRect/>
                    </a:stretch>
                  </pic:blipFill>
                  <pic:spPr>
                    <a:xfrm>
                      <a:off x="0" y="0"/>
                      <a:ext cx="5732145" cy="2619375"/>
                    </a:xfrm>
                    <a:prstGeom prst="rect">
                      <a:avLst/>
                    </a:prstGeom>
                  </pic:spPr>
                </pic:pic>
              </a:graphicData>
            </a:graphic>
          </wp:inline>
        </w:drawing>
      </w:r>
    </w:p>
    <w:p w14:paraId="72D468F8" w14:textId="77777777" w:rsidR="00C21EE1" w:rsidRPr="002F48ED" w:rsidRDefault="00317A93" w:rsidP="00967FAC">
      <w:pPr>
        <w:pStyle w:val="Bodytextarrow"/>
      </w:pPr>
      <w:r w:rsidRPr="002F48ED">
        <w:t xml:space="preserve">To leave </w:t>
      </w:r>
      <w:r w:rsidR="00EF1FA2" w:rsidRPr="002F48ED">
        <w:t>the screen</w:t>
      </w:r>
      <w:r w:rsidR="00BE0B0C" w:rsidRPr="002F48ED">
        <w:t xml:space="preserve"> above, click on </w:t>
      </w:r>
      <w:r w:rsidR="007508C9">
        <w:t>“</w:t>
      </w:r>
      <w:r w:rsidR="00BE0B0C" w:rsidRPr="002F48ED">
        <w:t>Continue</w:t>
      </w:r>
      <w:r w:rsidR="007508C9">
        <w:t>”</w:t>
      </w:r>
      <w:r w:rsidR="00161E7E" w:rsidRPr="002F48ED">
        <w:t xml:space="preserve"> and </w:t>
      </w:r>
      <w:r w:rsidR="007508C9">
        <w:t>“</w:t>
      </w:r>
      <w:r w:rsidR="00161E7E" w:rsidRPr="002F48ED">
        <w:t>Exit</w:t>
      </w:r>
      <w:r w:rsidR="007508C9">
        <w:t>”</w:t>
      </w:r>
      <w:r w:rsidR="00BE0B0C" w:rsidRPr="002F48ED">
        <w:t>.</w:t>
      </w:r>
    </w:p>
    <w:p w14:paraId="59CBF465" w14:textId="77777777" w:rsidR="00B828E3" w:rsidRDefault="00B828E3" w:rsidP="00D55252">
      <w:pPr>
        <w:pStyle w:val="Heading1"/>
        <w:rPr>
          <w:lang w:val="en-GB"/>
        </w:rPr>
      </w:pPr>
      <w:bookmarkStart w:id="24" w:name="_Toc466271232"/>
      <w:bookmarkStart w:id="25" w:name="_Toc170728119"/>
      <w:r w:rsidRPr="00071C37">
        <w:t>Data</w:t>
      </w:r>
      <w:r>
        <w:rPr>
          <w:lang w:val="en-GB"/>
        </w:rPr>
        <w:t xml:space="preserve"> collection at the national level</w:t>
      </w:r>
      <w:bookmarkEnd w:id="24"/>
      <w:bookmarkEnd w:id="25"/>
    </w:p>
    <w:p w14:paraId="006B9BBD" w14:textId="77777777" w:rsidR="0002258E" w:rsidRDefault="0002258E" w:rsidP="00967FAC">
      <w:pPr>
        <w:pStyle w:val="BodyText"/>
        <w:rPr>
          <w:lang w:val="en-GB"/>
        </w:rPr>
      </w:pPr>
      <w:r w:rsidRPr="0002258E">
        <w:rPr>
          <w:lang w:val="en-GB"/>
        </w:rPr>
        <w:t>The previous sections</w:t>
      </w:r>
      <w:r>
        <w:rPr>
          <w:lang w:val="en-GB"/>
        </w:rPr>
        <w:t xml:space="preserve"> cover</w:t>
      </w:r>
      <w:r w:rsidR="00317A93">
        <w:rPr>
          <w:lang w:val="en-GB"/>
        </w:rPr>
        <w:t>ed</w:t>
      </w:r>
      <w:r w:rsidR="007508C9">
        <w:rPr>
          <w:lang w:val="en-GB"/>
        </w:rPr>
        <w:t xml:space="preserve"> the entry of data into WHONET.</w:t>
      </w:r>
      <w:r>
        <w:rPr>
          <w:lang w:val="en-GB"/>
        </w:rPr>
        <w:t xml:space="preserve"> This can be accomplished by staff at each of the </w:t>
      </w:r>
      <w:r w:rsidR="00936B99">
        <w:rPr>
          <w:lang w:val="en-GB"/>
        </w:rPr>
        <w:t xml:space="preserve">surveillance sites </w:t>
      </w:r>
      <w:r>
        <w:rPr>
          <w:lang w:val="en-GB"/>
        </w:rPr>
        <w:t xml:space="preserve">participating in the national </w:t>
      </w:r>
      <w:r w:rsidR="00936B99">
        <w:rPr>
          <w:lang w:val="en-GB"/>
        </w:rPr>
        <w:t xml:space="preserve">surveillance system </w:t>
      </w:r>
      <w:r>
        <w:rPr>
          <w:lang w:val="en-GB"/>
        </w:rPr>
        <w:t xml:space="preserve">or alternatively at the national level by the surveillance </w:t>
      </w:r>
      <w:r w:rsidR="00936B99">
        <w:rPr>
          <w:lang w:val="en-GB"/>
        </w:rPr>
        <w:t xml:space="preserve">system </w:t>
      </w:r>
      <w:r>
        <w:rPr>
          <w:lang w:val="en-GB"/>
        </w:rPr>
        <w:t xml:space="preserve">coordinators utilizing paper forms or electronic records received </w:t>
      </w:r>
      <w:r w:rsidR="00851A66">
        <w:rPr>
          <w:lang w:val="en-GB"/>
        </w:rPr>
        <w:t>from participating facilities.</w:t>
      </w:r>
    </w:p>
    <w:p w14:paraId="3B425B5B" w14:textId="490AE3A7" w:rsidR="0083671A" w:rsidRDefault="0083671A" w:rsidP="00967FAC">
      <w:pPr>
        <w:pStyle w:val="BodyText"/>
        <w:rPr>
          <w:lang w:val="en-GB"/>
        </w:rPr>
      </w:pPr>
      <w:r>
        <w:rPr>
          <w:lang w:val="en-GB"/>
        </w:rPr>
        <w:t>If data entry is accomplished by the participating facilities, then data entry staff should periodically send their WHONET data files securely to the national program</w:t>
      </w:r>
      <w:r w:rsidR="00317A93">
        <w:rPr>
          <w:lang w:val="en-GB"/>
        </w:rPr>
        <w:t>me</w:t>
      </w:r>
      <w:r w:rsidR="007508C9">
        <w:rPr>
          <w:lang w:val="en-GB"/>
        </w:rPr>
        <w:t xml:space="preserve"> coordinators.</w:t>
      </w:r>
    </w:p>
    <w:p w14:paraId="7BB786A7" w14:textId="1BB1EECC" w:rsidR="00A47040" w:rsidRDefault="00A47040" w:rsidP="00967FAC">
      <w:pPr>
        <w:pStyle w:val="BodyText"/>
        <w:rPr>
          <w:lang w:val="en-GB"/>
        </w:rPr>
      </w:pPr>
      <w:r>
        <w:rPr>
          <w:lang w:val="en-GB"/>
        </w:rPr>
        <w:t xml:space="preserve">If facilities already have electronic data stores, for example in a laboratory information system or a laboratory organism and identification susceptibility test instrument, then BacLink – WHONET’s data import module – can usually be utilized to import the data into WHONET. Further details are available in the BacLink tutorials, starting with </w:t>
      </w:r>
      <w:r w:rsidRPr="002F48ED">
        <w:rPr>
          <w:i/>
          <w:lang w:val="en-GB"/>
        </w:rPr>
        <w:t>BacLink 1 – Getting started</w:t>
      </w:r>
      <w:r w:rsidR="007508C9">
        <w:rPr>
          <w:lang w:val="en-GB"/>
        </w:rPr>
        <w:t xml:space="preserve"> which is available from </w:t>
      </w:r>
      <w:hyperlink r:id="rId24" w:history="1">
        <w:r w:rsidR="007075E4" w:rsidRPr="007075E4">
          <w:rPr>
            <w:rStyle w:val="Hyperlink"/>
            <w:lang w:val="en-GB"/>
          </w:rPr>
          <w:t>https://whonet.org/training.html</w:t>
        </w:r>
      </w:hyperlink>
      <w:r w:rsidRPr="002F48ED">
        <w:rPr>
          <w:i/>
          <w:lang w:val="en-GB"/>
        </w:rPr>
        <w:t>.</w:t>
      </w:r>
      <w:r>
        <w:rPr>
          <w:lang w:val="en-GB"/>
        </w:rPr>
        <w:t xml:space="preserve">  BacLink can be run at the local level dire</w:t>
      </w:r>
      <w:r w:rsidR="007508C9">
        <w:rPr>
          <w:lang w:val="en-GB"/>
        </w:rPr>
        <w:t>ctly by facility staff members.</w:t>
      </w:r>
      <w:r>
        <w:rPr>
          <w:lang w:val="en-GB"/>
        </w:rPr>
        <w:t xml:space="preserve"> Alternatively, nat</w:t>
      </w:r>
      <w:r w:rsidR="001C4942">
        <w:rPr>
          <w:lang w:val="en-GB"/>
        </w:rPr>
        <w:t>ional network coordinators can</w:t>
      </w:r>
      <w:r>
        <w:rPr>
          <w:lang w:val="en-GB"/>
        </w:rPr>
        <w:t xml:space="preserve"> receive raw data files from participating facilities and convert these into WHONET files using BacLink at the national level</w:t>
      </w:r>
      <w:r w:rsidR="00B203C9">
        <w:rPr>
          <w:lang w:val="en-GB"/>
        </w:rPr>
        <w:t xml:space="preserve">, as </w:t>
      </w:r>
      <w:r w:rsidR="00ED3C84">
        <w:rPr>
          <w:lang w:val="en-GB"/>
        </w:rPr>
        <w:t>introduced</w:t>
      </w:r>
      <w:r w:rsidR="00B203C9">
        <w:rPr>
          <w:lang w:val="en-GB"/>
        </w:rPr>
        <w:t xml:space="preserve"> in Annex 2 and </w:t>
      </w:r>
      <w:r w:rsidR="00ED3C84">
        <w:rPr>
          <w:lang w:val="en-GB"/>
        </w:rPr>
        <w:t xml:space="preserve">described further </w:t>
      </w:r>
      <w:r w:rsidR="00B203C9">
        <w:rPr>
          <w:lang w:val="en-GB"/>
        </w:rPr>
        <w:t>in a series of BacLink tutorials.</w:t>
      </w:r>
    </w:p>
    <w:p w14:paraId="4AB59CBE" w14:textId="3256609F" w:rsidR="00C21EE1" w:rsidRPr="001132C1" w:rsidRDefault="00C00CAA" w:rsidP="00D55252">
      <w:pPr>
        <w:pStyle w:val="Heading1"/>
        <w:rPr>
          <w:lang w:val="en-GB"/>
        </w:rPr>
      </w:pPr>
      <w:bookmarkStart w:id="26" w:name="_Toc466271233"/>
      <w:bookmarkStart w:id="27" w:name="_Toc170728120"/>
      <w:r>
        <w:rPr>
          <w:lang w:val="en-GB"/>
        </w:rPr>
        <w:t>E</w:t>
      </w:r>
      <w:r w:rsidR="00C21EE1" w:rsidRPr="001132C1">
        <w:rPr>
          <w:lang w:val="en-GB"/>
        </w:rPr>
        <w:t xml:space="preserve">xporting </w:t>
      </w:r>
      <w:r>
        <w:rPr>
          <w:lang w:val="en-GB"/>
        </w:rPr>
        <w:t xml:space="preserve">WHONET </w:t>
      </w:r>
      <w:r w:rsidR="00C21EE1" w:rsidRPr="001132C1">
        <w:rPr>
          <w:lang w:val="en-GB"/>
        </w:rPr>
        <w:t xml:space="preserve">files to the </w:t>
      </w:r>
      <w:r w:rsidR="007075E4">
        <w:rPr>
          <w:lang w:val="en-GB"/>
        </w:rPr>
        <w:t>EGASP</w:t>
      </w:r>
      <w:r w:rsidR="00A94C72">
        <w:rPr>
          <w:lang w:val="en-GB"/>
        </w:rPr>
        <w:t xml:space="preserve"> </w:t>
      </w:r>
      <w:r w:rsidR="00C21EE1" w:rsidRPr="001132C1">
        <w:rPr>
          <w:lang w:val="en-GB"/>
        </w:rPr>
        <w:t>exchange format</w:t>
      </w:r>
      <w:bookmarkEnd w:id="26"/>
      <w:bookmarkEnd w:id="27"/>
    </w:p>
    <w:p w14:paraId="344B0A67" w14:textId="77777777" w:rsidR="00030222" w:rsidRDefault="00030222" w:rsidP="00967FAC">
      <w:pPr>
        <w:pStyle w:val="BodyText"/>
        <w:rPr>
          <w:lang w:val="en-GB"/>
        </w:rPr>
      </w:pPr>
      <w:r>
        <w:rPr>
          <w:lang w:val="en-GB"/>
        </w:rPr>
        <w:t xml:space="preserve">There are 2 </w:t>
      </w:r>
      <w:r w:rsidRPr="00967FAC">
        <w:t>scenarios</w:t>
      </w:r>
      <w:r w:rsidR="00660426">
        <w:rPr>
          <w:lang w:val="en-GB"/>
        </w:rPr>
        <w:t xml:space="preserve"> for WHONET files</w:t>
      </w:r>
      <w:r>
        <w:rPr>
          <w:lang w:val="en-GB"/>
        </w:rPr>
        <w:t>:</w:t>
      </w:r>
    </w:p>
    <w:p w14:paraId="3DDAE20B" w14:textId="77777777" w:rsidR="00030222" w:rsidRPr="00967FAC" w:rsidRDefault="0007482B" w:rsidP="00D55252">
      <w:pPr>
        <w:pStyle w:val="BodyText"/>
        <w:numPr>
          <w:ilvl w:val="0"/>
          <w:numId w:val="7"/>
        </w:numPr>
      </w:pPr>
      <w:r>
        <w:rPr>
          <w:lang w:val="en-GB"/>
        </w:rPr>
        <w:t>D</w:t>
      </w:r>
      <w:r w:rsidR="00936B99" w:rsidRPr="00C775EC">
        <w:rPr>
          <w:lang w:val="en-GB"/>
        </w:rPr>
        <w:t xml:space="preserve">ata </w:t>
      </w:r>
      <w:r w:rsidRPr="00967FAC">
        <w:t xml:space="preserve">have been entered </w:t>
      </w:r>
      <w:r w:rsidR="00936B99" w:rsidRPr="00967FAC">
        <w:t>manually at the national level following the in</w:t>
      </w:r>
      <w:r w:rsidR="00030222" w:rsidRPr="00967FAC">
        <w:t xml:space="preserve">structions </w:t>
      </w:r>
      <w:r w:rsidRPr="00967FAC">
        <w:t xml:space="preserve">provided </w:t>
      </w:r>
      <w:r w:rsidR="00030222" w:rsidRPr="00967FAC">
        <w:t xml:space="preserve">in </w:t>
      </w:r>
      <w:r w:rsidRPr="00967FAC">
        <w:t xml:space="preserve">the </w:t>
      </w:r>
      <w:r w:rsidR="00030222" w:rsidRPr="00967FAC">
        <w:t>previous sections</w:t>
      </w:r>
      <w:r w:rsidR="00D75CD1" w:rsidRPr="00967FAC">
        <w:t>; or</w:t>
      </w:r>
    </w:p>
    <w:p w14:paraId="111E848F" w14:textId="77777777" w:rsidR="00030222" w:rsidRDefault="007508C9" w:rsidP="00D55252">
      <w:pPr>
        <w:pStyle w:val="BodyText"/>
        <w:numPr>
          <w:ilvl w:val="0"/>
          <w:numId w:val="7"/>
        </w:numPr>
        <w:rPr>
          <w:lang w:val="en-GB"/>
        </w:rPr>
      </w:pPr>
      <w:r w:rsidRPr="00967FAC">
        <w:t>e</w:t>
      </w:r>
      <w:r w:rsidR="00936B99" w:rsidRPr="00967FAC">
        <w:t>lectronic files</w:t>
      </w:r>
      <w:r w:rsidR="00936B99" w:rsidRPr="00C775EC">
        <w:rPr>
          <w:lang w:val="en-GB"/>
        </w:rPr>
        <w:t xml:space="preserve"> </w:t>
      </w:r>
      <w:r w:rsidR="00660426">
        <w:rPr>
          <w:lang w:val="en-GB"/>
        </w:rPr>
        <w:t xml:space="preserve">in WHONET format </w:t>
      </w:r>
      <w:r w:rsidR="0007482B">
        <w:rPr>
          <w:lang w:val="en-GB"/>
        </w:rPr>
        <w:t xml:space="preserve">have been received </w:t>
      </w:r>
      <w:r w:rsidR="00936B99" w:rsidRPr="00C775EC">
        <w:rPr>
          <w:lang w:val="en-GB"/>
        </w:rPr>
        <w:t>from par</w:t>
      </w:r>
      <w:r w:rsidR="00AF1676">
        <w:rPr>
          <w:lang w:val="en-GB"/>
        </w:rPr>
        <w:t>ticipating surveillance sites.</w:t>
      </w:r>
    </w:p>
    <w:p w14:paraId="5AD01D24" w14:textId="77777777" w:rsidR="00967FAC" w:rsidRPr="00C62950" w:rsidRDefault="00967FAC" w:rsidP="00967FAC">
      <w:pPr>
        <w:pStyle w:val="BodyText"/>
        <w:rPr>
          <w:b/>
          <w:bCs/>
          <w:lang w:val="en-GB"/>
        </w:rPr>
      </w:pPr>
      <w:r w:rsidRPr="00C62950">
        <w:rPr>
          <w:b/>
          <w:bCs/>
          <w:lang w:val="en-GB"/>
        </w:rPr>
        <w:t xml:space="preserve">Manual data </w:t>
      </w:r>
      <w:r w:rsidRPr="00C62950">
        <w:rPr>
          <w:b/>
          <w:bCs/>
        </w:rPr>
        <w:t>entry</w:t>
      </w:r>
    </w:p>
    <w:p w14:paraId="7CFADAF2" w14:textId="47D2C2FC" w:rsidR="00030222" w:rsidRPr="00C775EC" w:rsidRDefault="00030222" w:rsidP="00967FAC">
      <w:pPr>
        <w:pStyle w:val="BodyText"/>
        <w:rPr>
          <w:lang w:val="en-GB"/>
        </w:rPr>
      </w:pPr>
      <w:r w:rsidRPr="00C775EC">
        <w:rPr>
          <w:lang w:val="en-GB"/>
        </w:rPr>
        <w:t xml:space="preserve">After </w:t>
      </w:r>
      <w:r>
        <w:rPr>
          <w:lang w:val="en-GB"/>
        </w:rPr>
        <w:t xml:space="preserve">manual </w:t>
      </w:r>
      <w:r w:rsidRPr="00C775EC">
        <w:rPr>
          <w:lang w:val="en-GB"/>
        </w:rPr>
        <w:t xml:space="preserve">data </w:t>
      </w:r>
      <w:r w:rsidRPr="00967FAC">
        <w:t>entry</w:t>
      </w:r>
      <w:r w:rsidRPr="00C775EC">
        <w:rPr>
          <w:lang w:val="en-GB"/>
        </w:rPr>
        <w:t xml:space="preserve"> the files are saved in WHONET format. Before uploading them to the </w:t>
      </w:r>
      <w:r w:rsidR="007075E4">
        <w:rPr>
          <w:lang w:val="en-GB"/>
        </w:rPr>
        <w:t xml:space="preserve">EGASP </w:t>
      </w:r>
      <w:r w:rsidRPr="00C775EC">
        <w:rPr>
          <w:lang w:val="en-GB"/>
        </w:rPr>
        <w:t xml:space="preserve">user interface, they must be exported to the </w:t>
      </w:r>
      <w:r w:rsidR="007075E4">
        <w:rPr>
          <w:lang w:val="en-GB"/>
        </w:rPr>
        <w:t>EGASP</w:t>
      </w:r>
      <w:r w:rsidRPr="00C775EC">
        <w:rPr>
          <w:lang w:val="en-GB"/>
        </w:rPr>
        <w:t xml:space="preserve"> data exchange</w:t>
      </w:r>
      <w:r w:rsidR="005C0003">
        <w:rPr>
          <w:lang w:val="en-GB"/>
        </w:rPr>
        <w:t xml:space="preserve"> format. It is possible that the user may have </w:t>
      </w:r>
      <w:r w:rsidR="001B03A5">
        <w:rPr>
          <w:lang w:val="en-GB"/>
        </w:rPr>
        <w:t xml:space="preserve">national </w:t>
      </w:r>
      <w:r w:rsidR="005C0003">
        <w:rPr>
          <w:lang w:val="en-GB"/>
        </w:rPr>
        <w:t xml:space="preserve">WHONET data </w:t>
      </w:r>
      <w:r w:rsidRPr="00C775EC">
        <w:rPr>
          <w:lang w:val="en-GB"/>
        </w:rPr>
        <w:t>stored in a single large WHONET file, or alternatively</w:t>
      </w:r>
      <w:r w:rsidR="00D75CD1">
        <w:rPr>
          <w:lang w:val="en-GB"/>
        </w:rPr>
        <w:t>,</w:t>
      </w:r>
      <w:r w:rsidR="005C0003">
        <w:rPr>
          <w:lang w:val="en-GB"/>
        </w:rPr>
        <w:t xml:space="preserve"> the user</w:t>
      </w:r>
      <w:r w:rsidRPr="00C775EC">
        <w:rPr>
          <w:lang w:val="en-GB"/>
        </w:rPr>
        <w:t xml:space="preserve"> may </w:t>
      </w:r>
      <w:r w:rsidRPr="00C775EC">
        <w:rPr>
          <w:lang w:val="en-GB"/>
        </w:rPr>
        <w:lastRenderedPageBreak/>
        <w:t>have separat</w:t>
      </w:r>
      <w:r w:rsidR="005C0003">
        <w:rPr>
          <w:lang w:val="en-GB"/>
        </w:rPr>
        <w:t>e WHONET files representing</w:t>
      </w:r>
      <w:r w:rsidRPr="00C775EC">
        <w:rPr>
          <w:lang w:val="en-GB"/>
        </w:rPr>
        <w:t xml:space="preserve"> various facilities, </w:t>
      </w:r>
      <w:r w:rsidR="00AF1676">
        <w:rPr>
          <w:lang w:val="en-GB"/>
        </w:rPr>
        <w:t>specimens</w:t>
      </w:r>
      <w:r w:rsidR="007508C9">
        <w:rPr>
          <w:lang w:val="en-GB"/>
        </w:rPr>
        <w:t xml:space="preserve"> and time periods.</w:t>
      </w:r>
      <w:r w:rsidRPr="00C775EC">
        <w:rPr>
          <w:lang w:val="en-GB"/>
        </w:rPr>
        <w:t xml:space="preserve"> If multiple files</w:t>
      </w:r>
      <w:r w:rsidR="0007482B">
        <w:rPr>
          <w:lang w:val="en-GB"/>
        </w:rPr>
        <w:t xml:space="preserve"> exist</w:t>
      </w:r>
      <w:r w:rsidR="005C0003">
        <w:rPr>
          <w:lang w:val="en-GB"/>
        </w:rPr>
        <w:t>, the user</w:t>
      </w:r>
      <w:r w:rsidRPr="00C775EC">
        <w:rPr>
          <w:lang w:val="en-GB"/>
        </w:rPr>
        <w:t xml:space="preserve"> may </w:t>
      </w:r>
      <w:r w:rsidR="004179D1">
        <w:rPr>
          <w:lang w:val="en-GB"/>
        </w:rPr>
        <w:t xml:space="preserve">first </w:t>
      </w:r>
      <w:r w:rsidRPr="00C775EC">
        <w:rPr>
          <w:lang w:val="en-GB"/>
        </w:rPr>
        <w:t xml:space="preserve">wish to combine them together into a single </w:t>
      </w:r>
      <w:r w:rsidR="004179D1">
        <w:rPr>
          <w:lang w:val="en-GB"/>
        </w:rPr>
        <w:t xml:space="preserve">large WHONET </w:t>
      </w:r>
      <w:r w:rsidRPr="00C775EC">
        <w:rPr>
          <w:lang w:val="en-GB"/>
        </w:rPr>
        <w:t xml:space="preserve">file using the procedure </w:t>
      </w:r>
      <w:r w:rsidR="00DC4D94">
        <w:rPr>
          <w:lang w:val="en-GB"/>
        </w:rPr>
        <w:t xml:space="preserve">described </w:t>
      </w:r>
      <w:r w:rsidR="00DC4D94" w:rsidRPr="00C775EC">
        <w:rPr>
          <w:lang w:val="en-GB"/>
        </w:rPr>
        <w:t>below</w:t>
      </w:r>
      <w:r w:rsidR="004179D1">
        <w:rPr>
          <w:lang w:val="en-GB"/>
        </w:rPr>
        <w:t xml:space="preserve"> (section 6.1).</w:t>
      </w:r>
    </w:p>
    <w:p w14:paraId="3EAE7332" w14:textId="77777777" w:rsidR="00030222" w:rsidRPr="00C62950" w:rsidRDefault="00967FAC" w:rsidP="00967FAC">
      <w:pPr>
        <w:pStyle w:val="BodyText"/>
        <w:rPr>
          <w:b/>
          <w:bCs/>
          <w:lang w:val="en-GB"/>
        </w:rPr>
      </w:pPr>
      <w:r w:rsidRPr="00C62950">
        <w:rPr>
          <w:b/>
          <w:bCs/>
        </w:rPr>
        <w:t>Electronic</w:t>
      </w:r>
      <w:r w:rsidRPr="00C62950">
        <w:rPr>
          <w:b/>
          <w:bCs/>
          <w:lang w:val="en-GB"/>
        </w:rPr>
        <w:t xml:space="preserve"> data entry</w:t>
      </w:r>
    </w:p>
    <w:p w14:paraId="4586139D" w14:textId="77777777" w:rsidR="00936B99" w:rsidRPr="001132C1" w:rsidRDefault="00030222" w:rsidP="00967FAC">
      <w:pPr>
        <w:pStyle w:val="BodyText"/>
        <w:rPr>
          <w:lang w:val="en-GB"/>
        </w:rPr>
      </w:pPr>
      <w:r>
        <w:rPr>
          <w:lang w:val="en-GB"/>
        </w:rPr>
        <w:t>After receiving electronic WHONET data files from part</w:t>
      </w:r>
      <w:r w:rsidR="005C0003">
        <w:rPr>
          <w:lang w:val="en-GB"/>
        </w:rPr>
        <w:t>icipating surveillance sites the user</w:t>
      </w:r>
      <w:r>
        <w:rPr>
          <w:lang w:val="en-GB"/>
        </w:rPr>
        <w:t xml:space="preserve"> may </w:t>
      </w:r>
      <w:r w:rsidR="00E839A6">
        <w:rPr>
          <w:lang w:val="en-GB"/>
        </w:rPr>
        <w:t xml:space="preserve">first </w:t>
      </w:r>
      <w:r>
        <w:rPr>
          <w:lang w:val="en-GB"/>
        </w:rPr>
        <w:t>want</w:t>
      </w:r>
      <w:r w:rsidR="00936B99" w:rsidRPr="001132C1">
        <w:rPr>
          <w:lang w:val="en-GB"/>
        </w:rPr>
        <w:t xml:space="preserve"> to combine data files from more than one </w:t>
      </w:r>
      <w:r>
        <w:rPr>
          <w:lang w:val="en-GB"/>
        </w:rPr>
        <w:t>surveillance site</w:t>
      </w:r>
      <w:r w:rsidR="00936B99" w:rsidRPr="001132C1">
        <w:rPr>
          <w:lang w:val="en-GB"/>
        </w:rPr>
        <w:t xml:space="preserve"> into </w:t>
      </w:r>
      <w:r w:rsidR="004179D1">
        <w:rPr>
          <w:lang w:val="en-GB"/>
        </w:rPr>
        <w:t>a single large</w:t>
      </w:r>
      <w:r w:rsidR="00936B99">
        <w:rPr>
          <w:lang w:val="en-GB"/>
        </w:rPr>
        <w:t xml:space="preserve"> </w:t>
      </w:r>
      <w:r w:rsidR="004179D1">
        <w:rPr>
          <w:lang w:val="en-GB"/>
        </w:rPr>
        <w:t xml:space="preserve">WHONET </w:t>
      </w:r>
      <w:r w:rsidR="00936B99" w:rsidRPr="001132C1">
        <w:rPr>
          <w:lang w:val="en-GB"/>
        </w:rPr>
        <w:t xml:space="preserve">file. </w:t>
      </w:r>
      <w:r>
        <w:rPr>
          <w:lang w:val="en-GB"/>
        </w:rPr>
        <w:t>However</w:t>
      </w:r>
      <w:r w:rsidR="00796018">
        <w:rPr>
          <w:lang w:val="en-GB"/>
        </w:rPr>
        <w:t>,</w:t>
      </w:r>
      <w:r>
        <w:rPr>
          <w:lang w:val="en-GB"/>
        </w:rPr>
        <w:t xml:space="preserve"> s</w:t>
      </w:r>
      <w:r w:rsidRPr="005244DB">
        <w:rPr>
          <w:lang w:val="en-GB"/>
        </w:rPr>
        <w:t>urveillance sites may use different WHONET software versions and different laboratory configurations</w:t>
      </w:r>
      <w:r w:rsidR="00AF1676">
        <w:rPr>
          <w:lang w:val="en-GB"/>
        </w:rPr>
        <w:t>.</w:t>
      </w:r>
      <w:r w:rsidRPr="001132C1">
        <w:rPr>
          <w:lang w:val="en-GB"/>
        </w:rPr>
        <w:t xml:space="preserve"> </w:t>
      </w:r>
      <w:r w:rsidR="00936B99" w:rsidRPr="001132C1">
        <w:rPr>
          <w:lang w:val="en-GB"/>
        </w:rPr>
        <w:t xml:space="preserve">If the laboratories </w:t>
      </w:r>
      <w:r w:rsidR="0007482B">
        <w:rPr>
          <w:lang w:val="en-GB"/>
        </w:rPr>
        <w:t xml:space="preserve">are </w:t>
      </w:r>
      <w:r w:rsidR="00936B99" w:rsidRPr="001132C1">
        <w:rPr>
          <w:lang w:val="en-GB"/>
        </w:rPr>
        <w:t>test</w:t>
      </w:r>
      <w:r w:rsidR="0007482B">
        <w:rPr>
          <w:lang w:val="en-GB"/>
        </w:rPr>
        <w:t>ing</w:t>
      </w:r>
      <w:r w:rsidR="00936B99" w:rsidRPr="001132C1">
        <w:rPr>
          <w:lang w:val="en-GB"/>
        </w:rPr>
        <w:t xml:space="preserve"> </w:t>
      </w:r>
      <w:proofErr w:type="gramStart"/>
      <w:r w:rsidR="00936B99" w:rsidRPr="001132C1">
        <w:rPr>
          <w:lang w:val="en-GB"/>
        </w:rPr>
        <w:t>exactly the same</w:t>
      </w:r>
      <w:proofErr w:type="gramEnd"/>
      <w:r w:rsidR="00936B99" w:rsidRPr="001132C1">
        <w:rPr>
          <w:lang w:val="en-GB"/>
        </w:rPr>
        <w:t xml:space="preserve"> antibiotics with the same set of breakpoints, the data files </w:t>
      </w:r>
      <w:r w:rsidR="0007482B">
        <w:rPr>
          <w:lang w:val="en-GB"/>
        </w:rPr>
        <w:t xml:space="preserve">can be combined </w:t>
      </w:r>
      <w:r w:rsidR="00936B99" w:rsidRPr="001132C1">
        <w:rPr>
          <w:lang w:val="en-GB"/>
        </w:rPr>
        <w:t>using any one of the correspon</w:t>
      </w:r>
      <w:r w:rsidR="007508C9">
        <w:rPr>
          <w:lang w:val="en-GB"/>
        </w:rPr>
        <w:t>ding laboratory configurations.</w:t>
      </w:r>
      <w:r w:rsidR="00936B99" w:rsidRPr="001132C1">
        <w:rPr>
          <w:lang w:val="en-GB"/>
        </w:rPr>
        <w:t xml:space="preserve"> On the other hand, if the laboratories </w:t>
      </w:r>
      <w:r w:rsidR="0007482B">
        <w:rPr>
          <w:lang w:val="en-GB"/>
        </w:rPr>
        <w:t xml:space="preserve">are </w:t>
      </w:r>
      <w:r w:rsidR="00936B99" w:rsidRPr="001132C1">
        <w:rPr>
          <w:lang w:val="en-GB"/>
        </w:rPr>
        <w:t>test</w:t>
      </w:r>
      <w:r w:rsidR="0007482B">
        <w:rPr>
          <w:lang w:val="en-GB"/>
        </w:rPr>
        <w:t>ing</w:t>
      </w:r>
      <w:r w:rsidR="00936B99" w:rsidRPr="001132C1">
        <w:rPr>
          <w:lang w:val="en-GB"/>
        </w:rPr>
        <w:t xml:space="preserve"> different antibiotics or us</w:t>
      </w:r>
      <w:r w:rsidR="0007482B">
        <w:rPr>
          <w:lang w:val="en-GB"/>
        </w:rPr>
        <w:t>ing</w:t>
      </w:r>
      <w:r w:rsidR="00936B99" w:rsidRPr="001132C1">
        <w:rPr>
          <w:lang w:val="en-GB"/>
        </w:rPr>
        <w:t xml:space="preserve"> different breakpoints,</w:t>
      </w:r>
      <w:r w:rsidR="0007482B">
        <w:rPr>
          <w:lang w:val="en-GB"/>
        </w:rPr>
        <w:t xml:space="preserve"> then</w:t>
      </w:r>
      <w:r w:rsidR="00AF1676">
        <w:rPr>
          <w:lang w:val="en-GB"/>
        </w:rPr>
        <w:t xml:space="preserve"> </w:t>
      </w:r>
      <w:r w:rsidR="00936B99" w:rsidRPr="001132C1">
        <w:rPr>
          <w:lang w:val="en-GB"/>
        </w:rPr>
        <w:t>a new “national” laboratory configuration</w:t>
      </w:r>
      <w:r w:rsidR="0007482B">
        <w:rPr>
          <w:lang w:val="en-GB"/>
        </w:rPr>
        <w:t xml:space="preserve"> should be created and customized </w:t>
      </w:r>
      <w:r w:rsidR="00796018">
        <w:rPr>
          <w:lang w:val="en-GB"/>
        </w:rPr>
        <w:t>that</w:t>
      </w:r>
      <w:r w:rsidR="00936B99" w:rsidRPr="001132C1">
        <w:rPr>
          <w:lang w:val="en-GB"/>
        </w:rPr>
        <w:t xml:space="preserve"> includes a list of all antibiotics tested (with the corresponding breakpoints)</w:t>
      </w:r>
      <w:r w:rsidR="00936B99">
        <w:rPr>
          <w:lang w:val="en-GB"/>
        </w:rPr>
        <w:t>, as mentioned earlier in Section</w:t>
      </w:r>
      <w:r w:rsidR="00AF1676">
        <w:rPr>
          <w:lang w:val="en-GB"/>
        </w:rPr>
        <w:t>s</w:t>
      </w:r>
      <w:r w:rsidR="00936B99">
        <w:rPr>
          <w:lang w:val="en-GB"/>
        </w:rPr>
        <w:t xml:space="preserve"> 3.1</w:t>
      </w:r>
      <w:r w:rsidR="00AF1676">
        <w:rPr>
          <w:lang w:val="en-GB"/>
        </w:rPr>
        <w:t xml:space="preserve"> and 3.3</w:t>
      </w:r>
      <w:r w:rsidR="00936B99" w:rsidRPr="001132C1">
        <w:rPr>
          <w:lang w:val="en-GB"/>
        </w:rPr>
        <w:t>.</w:t>
      </w:r>
      <w:r w:rsidR="00E839A6">
        <w:rPr>
          <w:lang w:val="en-GB"/>
        </w:rPr>
        <w:t xml:space="preserve"> </w:t>
      </w:r>
    </w:p>
    <w:p w14:paraId="22C464A5" w14:textId="5B43BB65" w:rsidR="00C912FC" w:rsidRPr="00C912FC" w:rsidRDefault="004179D1" w:rsidP="00C912FC">
      <w:pPr>
        <w:pStyle w:val="Heading2"/>
        <w:numPr>
          <w:ilvl w:val="1"/>
          <w:numId w:val="11"/>
        </w:numPr>
        <w:ind w:left="709" w:hanging="709"/>
      </w:pPr>
      <w:bookmarkStart w:id="28" w:name="_Toc466271234"/>
      <w:bookmarkStart w:id="29" w:name="_Toc170728121"/>
      <w:r w:rsidRPr="003C0EC6">
        <w:t>Combining</w:t>
      </w:r>
      <w:r>
        <w:t xml:space="preserve"> WHONET files</w:t>
      </w:r>
      <w:bookmarkEnd w:id="28"/>
      <w:bookmarkEnd w:id="29"/>
    </w:p>
    <w:p w14:paraId="1DF6C248" w14:textId="77777777" w:rsidR="00E66700" w:rsidRDefault="00E66700" w:rsidP="00967FAC">
      <w:pPr>
        <w:pStyle w:val="BodyText"/>
        <w:rPr>
          <w:lang w:val="en-GB"/>
        </w:rPr>
      </w:pPr>
      <w:r w:rsidRPr="00E66700">
        <w:rPr>
          <w:lang w:val="en-GB"/>
        </w:rPr>
        <w:t>We first describe how to combine WHONET files from different surveillance sites into one single large WHONET file before aggregat</w:t>
      </w:r>
      <w:r w:rsidR="0007482B">
        <w:rPr>
          <w:lang w:val="en-GB"/>
        </w:rPr>
        <w:t>ion of</w:t>
      </w:r>
      <w:r w:rsidRPr="00E66700">
        <w:rPr>
          <w:lang w:val="en-GB"/>
        </w:rPr>
        <w:t xml:space="preserve"> data.</w:t>
      </w:r>
      <w:r w:rsidR="00DC4D94">
        <w:rPr>
          <w:lang w:val="en-GB"/>
        </w:rPr>
        <w:t xml:space="preserve"> </w:t>
      </w:r>
      <w:r w:rsidRPr="00E66700">
        <w:rPr>
          <w:lang w:val="en-GB"/>
        </w:rPr>
        <w:t xml:space="preserve"> </w:t>
      </w:r>
    </w:p>
    <w:p w14:paraId="1E87FFCD" w14:textId="77777777" w:rsidR="00E66700" w:rsidRDefault="00E66700" w:rsidP="00967FAC">
      <w:pPr>
        <w:pStyle w:val="Bodytextarrow"/>
      </w:pPr>
      <w:r w:rsidRPr="00E66700">
        <w:t>To combine data</w:t>
      </w:r>
      <w:r w:rsidR="005C0003">
        <w:t xml:space="preserve"> files in a </w:t>
      </w:r>
      <w:r w:rsidRPr="00E66700">
        <w:t>preferred configuration, s</w:t>
      </w:r>
      <w:r w:rsidR="00584D55">
        <w:t>elect “O</w:t>
      </w:r>
      <w:r w:rsidRPr="00E66700">
        <w:t>pen laboratory</w:t>
      </w:r>
      <w:r w:rsidR="00584D55">
        <w:t>”</w:t>
      </w:r>
      <w:r w:rsidRPr="00E66700">
        <w:t xml:space="preserve"> and choose the laboratory with the corresponding configuration. </w:t>
      </w:r>
    </w:p>
    <w:p w14:paraId="626D256D" w14:textId="77777777" w:rsidR="00584D55" w:rsidRDefault="00E66700" w:rsidP="00967FAC">
      <w:pPr>
        <w:pStyle w:val="Bodytextarrow"/>
      </w:pPr>
      <w:r w:rsidRPr="00E66700">
        <w:t xml:space="preserve">Click on “Data entry” from the main </w:t>
      </w:r>
      <w:r>
        <w:t xml:space="preserve">WHONET screen. </w:t>
      </w:r>
      <w:r w:rsidRPr="00E66700">
        <w:t xml:space="preserve">Choose “Combine or export data files”.  Indicate the data files that </w:t>
      </w:r>
      <w:r w:rsidR="0007482B">
        <w:t>are</w:t>
      </w:r>
      <w:r w:rsidRPr="00E66700">
        <w:t xml:space="preserve"> to </w:t>
      </w:r>
      <w:r w:rsidR="0007482B">
        <w:t xml:space="preserve">be </w:t>
      </w:r>
      <w:r w:rsidRPr="00E66700">
        <w:t>combine</w:t>
      </w:r>
      <w:r w:rsidR="0007482B">
        <w:t>d</w:t>
      </w:r>
      <w:r w:rsidRPr="00E66700">
        <w:t xml:space="preserve"> and enter the name of the new data file </w:t>
      </w:r>
      <w:r w:rsidR="0007482B">
        <w:t xml:space="preserve">being </w:t>
      </w:r>
      <w:r w:rsidRPr="00E66700">
        <w:t>create</w:t>
      </w:r>
      <w:r w:rsidR="0007482B">
        <w:t>d</w:t>
      </w:r>
      <w:r w:rsidRPr="00E66700">
        <w:t xml:space="preserve">. The default option “Save as type” is WHONET. </w:t>
      </w:r>
    </w:p>
    <w:p w14:paraId="1041AB28" w14:textId="77777777" w:rsidR="00584D55" w:rsidRDefault="00E66700" w:rsidP="00967FAC">
      <w:pPr>
        <w:pStyle w:val="Bodytextarrow"/>
      </w:pPr>
      <w:r w:rsidRPr="00E66700">
        <w:t xml:space="preserve">Then click on “Combine”.  </w:t>
      </w:r>
    </w:p>
    <w:p w14:paraId="36281280" w14:textId="2AB5EBF7" w:rsidR="00C912FC" w:rsidRDefault="00E66700" w:rsidP="00C912FC">
      <w:pPr>
        <w:pStyle w:val="Bodytextarrow"/>
      </w:pPr>
      <w:r w:rsidRPr="00E66700">
        <w:t xml:space="preserve">When WHONET finishes, the original data </w:t>
      </w:r>
      <w:r w:rsidR="005C0003">
        <w:t>files will be unchanged, but the user</w:t>
      </w:r>
      <w:r w:rsidRPr="00E66700">
        <w:t xml:space="preserve"> will now have a new large data file </w:t>
      </w:r>
      <w:r w:rsidR="00796018">
        <w:t>that</w:t>
      </w:r>
      <w:r w:rsidRPr="00E66700">
        <w:t xml:space="preserve"> includes </w:t>
      </w:r>
      <w:r w:rsidR="006B6156" w:rsidRPr="00E66700">
        <w:t>all</w:t>
      </w:r>
      <w:r w:rsidRPr="00E66700">
        <w:t xml:space="preserve"> the results from the original files. The new WHONET data file is stored per default in </w:t>
      </w:r>
      <w:r w:rsidR="00F72238">
        <w:t xml:space="preserve">the </w:t>
      </w:r>
      <w:r w:rsidRPr="00E66700">
        <w:t>C:\WHONET\Data</w:t>
      </w:r>
      <w:r w:rsidR="00F72238">
        <w:t xml:space="preserve"> folder</w:t>
      </w:r>
      <w:r w:rsidRPr="00E66700">
        <w:t>.</w:t>
      </w:r>
    </w:p>
    <w:p w14:paraId="21BAE351" w14:textId="780EC734" w:rsidR="00C912FC" w:rsidRDefault="00C912FC" w:rsidP="00C912FC">
      <w:pPr>
        <w:pStyle w:val="Heading2"/>
        <w:numPr>
          <w:ilvl w:val="1"/>
          <w:numId w:val="11"/>
        </w:numPr>
      </w:pPr>
      <w:r>
        <w:t xml:space="preserve">      </w:t>
      </w:r>
      <w:bookmarkStart w:id="30" w:name="_Toc170728122"/>
      <w:r>
        <w:t xml:space="preserve">Downloading the data export template from the EGASP </w:t>
      </w:r>
      <w:r w:rsidR="00FF18E2">
        <w:t xml:space="preserve">IT </w:t>
      </w:r>
      <w:r>
        <w:t>platform</w:t>
      </w:r>
      <w:bookmarkEnd w:id="30"/>
    </w:p>
    <w:p w14:paraId="2ADEBD34" w14:textId="67760A39" w:rsidR="00C912FC" w:rsidRDefault="00E76642" w:rsidP="00C912FC">
      <w:pPr>
        <w:pStyle w:val="BodyText"/>
      </w:pPr>
      <w:r>
        <w:t xml:space="preserve">The WHO-EGASP 2.0 platform only accepts data in a specific format. To export data to the web </w:t>
      </w:r>
      <w:r w:rsidR="004D5C16">
        <w:t xml:space="preserve">IT </w:t>
      </w:r>
      <w:r>
        <w:t>platform, you must first log in to the platform and download the template Excel file. WHONET will transfer data into this template as described in the next section.</w:t>
      </w:r>
    </w:p>
    <w:p w14:paraId="56C1F36E" w14:textId="380026E3" w:rsidR="00E76642" w:rsidRDefault="00E76642" w:rsidP="00E76642">
      <w:pPr>
        <w:pStyle w:val="Bodytextarrow"/>
      </w:pPr>
      <w:r>
        <w:t>Log in to the WHO-EGASP platform.</w:t>
      </w:r>
    </w:p>
    <w:p w14:paraId="05E580A5" w14:textId="77777777" w:rsidR="00C608DD" w:rsidRDefault="00C608DD" w:rsidP="00C608DD">
      <w:pPr>
        <w:pStyle w:val="EGASP"/>
      </w:pPr>
    </w:p>
    <w:p w14:paraId="192FD58B" w14:textId="77777777" w:rsidR="00C608DD" w:rsidRDefault="00C608DD" w:rsidP="00C608DD">
      <w:pPr>
        <w:pStyle w:val="EGASP"/>
      </w:pPr>
    </w:p>
    <w:p w14:paraId="729B25BB" w14:textId="77777777" w:rsidR="00C608DD" w:rsidRDefault="00C608DD" w:rsidP="00C608DD">
      <w:pPr>
        <w:pStyle w:val="EGASP"/>
      </w:pPr>
    </w:p>
    <w:p w14:paraId="2D2CF76F" w14:textId="77777777" w:rsidR="00C608DD" w:rsidRDefault="00C608DD" w:rsidP="00C608DD">
      <w:pPr>
        <w:pStyle w:val="EGASP"/>
      </w:pPr>
    </w:p>
    <w:p w14:paraId="4716CC3C" w14:textId="77777777" w:rsidR="00C608DD" w:rsidRDefault="00C608DD" w:rsidP="00C608DD">
      <w:pPr>
        <w:pStyle w:val="EGASP"/>
      </w:pPr>
    </w:p>
    <w:p w14:paraId="0BBFD694" w14:textId="77777777" w:rsidR="00C608DD" w:rsidRDefault="00C608DD" w:rsidP="00C608DD">
      <w:pPr>
        <w:pStyle w:val="Bodytextarrow"/>
        <w:numPr>
          <w:ilvl w:val="0"/>
          <w:numId w:val="0"/>
        </w:numPr>
      </w:pPr>
    </w:p>
    <w:p w14:paraId="27AAB36A" w14:textId="77777777" w:rsidR="003460D1" w:rsidRDefault="003460D1" w:rsidP="003460D1">
      <w:pPr>
        <w:pStyle w:val="Bodytextarrow"/>
        <w:numPr>
          <w:ilvl w:val="0"/>
          <w:numId w:val="0"/>
        </w:numPr>
        <w:ind w:left="964" w:hanging="680"/>
      </w:pPr>
    </w:p>
    <w:p w14:paraId="5DFFC0DA" w14:textId="7932A9D8" w:rsidR="00E76642" w:rsidRDefault="00E76642" w:rsidP="003460D1">
      <w:pPr>
        <w:pStyle w:val="Bodytextarrow"/>
      </w:pPr>
      <w:r>
        <w:lastRenderedPageBreak/>
        <w:t>From the main menu, choose “Data Submissions History”</w:t>
      </w:r>
    </w:p>
    <w:p w14:paraId="20122666" w14:textId="615F837D" w:rsidR="00E76642" w:rsidRDefault="00E76642" w:rsidP="00E76642">
      <w:pPr>
        <w:pStyle w:val="EGASP"/>
      </w:pPr>
      <w:r>
        <w:drawing>
          <wp:inline distT="0" distB="0" distL="0" distR="0" wp14:anchorId="28444A5F" wp14:editId="2B2A69F1">
            <wp:extent cx="5732145" cy="4547870"/>
            <wp:effectExtent l="0" t="0" r="1905" b="5080"/>
            <wp:docPr id="870440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40773" name=""/>
                    <pic:cNvPicPr/>
                  </pic:nvPicPr>
                  <pic:blipFill>
                    <a:blip r:embed="rId25"/>
                    <a:stretch>
                      <a:fillRect/>
                    </a:stretch>
                  </pic:blipFill>
                  <pic:spPr>
                    <a:xfrm>
                      <a:off x="0" y="0"/>
                      <a:ext cx="5732145" cy="4547870"/>
                    </a:xfrm>
                    <a:prstGeom prst="rect">
                      <a:avLst/>
                    </a:prstGeom>
                  </pic:spPr>
                </pic:pic>
              </a:graphicData>
            </a:graphic>
          </wp:inline>
        </w:drawing>
      </w:r>
    </w:p>
    <w:p w14:paraId="4827FF1E" w14:textId="661A362F" w:rsidR="00E76642" w:rsidRDefault="00E76642" w:rsidP="00E76642">
      <w:pPr>
        <w:pStyle w:val="Bodytextarrow"/>
      </w:pPr>
      <w:r>
        <w:t>Select a row on the right corresponding to the data year you would like to submit.</w:t>
      </w:r>
    </w:p>
    <w:p w14:paraId="4D2EAF3B" w14:textId="77777777" w:rsidR="00C608DD" w:rsidRDefault="00C608DD" w:rsidP="00C608DD">
      <w:pPr>
        <w:pStyle w:val="EGASP"/>
      </w:pPr>
    </w:p>
    <w:p w14:paraId="4D3B6181" w14:textId="77777777" w:rsidR="00C608DD" w:rsidRDefault="00C608DD" w:rsidP="00C608DD">
      <w:pPr>
        <w:pStyle w:val="EGASP"/>
      </w:pPr>
    </w:p>
    <w:p w14:paraId="15812EB9" w14:textId="77777777" w:rsidR="00C608DD" w:rsidRDefault="00C608DD" w:rsidP="00C608DD">
      <w:pPr>
        <w:pStyle w:val="EGASP"/>
      </w:pPr>
    </w:p>
    <w:p w14:paraId="0B726E90" w14:textId="77777777" w:rsidR="00C608DD" w:rsidRDefault="00C608DD" w:rsidP="00C608DD">
      <w:pPr>
        <w:pStyle w:val="EGASP"/>
      </w:pPr>
    </w:p>
    <w:p w14:paraId="159F126C" w14:textId="77777777" w:rsidR="00C608DD" w:rsidRDefault="00C608DD" w:rsidP="00C608DD">
      <w:pPr>
        <w:pStyle w:val="EGASP"/>
      </w:pPr>
    </w:p>
    <w:p w14:paraId="17C5C3C1" w14:textId="77777777" w:rsidR="00C608DD" w:rsidRDefault="00C608DD" w:rsidP="00C608DD">
      <w:pPr>
        <w:pStyle w:val="EGASP"/>
      </w:pPr>
    </w:p>
    <w:p w14:paraId="52F0644C" w14:textId="77777777" w:rsidR="00C608DD" w:rsidRDefault="00C608DD" w:rsidP="00C608DD">
      <w:pPr>
        <w:pStyle w:val="EGASP"/>
      </w:pPr>
    </w:p>
    <w:p w14:paraId="41FCA9E5" w14:textId="77777777" w:rsidR="00C608DD" w:rsidRDefault="00C608DD" w:rsidP="00C608DD">
      <w:pPr>
        <w:pStyle w:val="EGASP"/>
      </w:pPr>
    </w:p>
    <w:p w14:paraId="6C1CC48A" w14:textId="77777777" w:rsidR="00C608DD" w:rsidRDefault="00C608DD" w:rsidP="00C608DD">
      <w:pPr>
        <w:pStyle w:val="EGASP"/>
      </w:pPr>
    </w:p>
    <w:p w14:paraId="4F8B24F9" w14:textId="77777777" w:rsidR="00C608DD" w:rsidRDefault="00C608DD" w:rsidP="00C608DD">
      <w:pPr>
        <w:pStyle w:val="EGASP"/>
      </w:pPr>
    </w:p>
    <w:p w14:paraId="7ADBFEB2" w14:textId="77777777" w:rsidR="00C608DD" w:rsidRDefault="00C608DD" w:rsidP="00C608DD">
      <w:pPr>
        <w:pStyle w:val="EGASP"/>
      </w:pPr>
    </w:p>
    <w:p w14:paraId="40CD100C" w14:textId="77777777" w:rsidR="00C608DD" w:rsidRDefault="00C608DD" w:rsidP="00C608DD">
      <w:pPr>
        <w:pStyle w:val="EGASP"/>
      </w:pPr>
    </w:p>
    <w:p w14:paraId="1F3BA4A6" w14:textId="77777777" w:rsidR="00C608DD" w:rsidRDefault="00C608DD" w:rsidP="00C608DD">
      <w:pPr>
        <w:pStyle w:val="Bodytextarrow"/>
        <w:numPr>
          <w:ilvl w:val="0"/>
          <w:numId w:val="0"/>
        </w:numPr>
        <w:ind w:left="964"/>
      </w:pPr>
    </w:p>
    <w:p w14:paraId="657B6EC3" w14:textId="28722A49" w:rsidR="00E76642" w:rsidRDefault="00E76642" w:rsidP="00C608DD">
      <w:pPr>
        <w:pStyle w:val="Bodytextarrow"/>
      </w:pPr>
      <w:r>
        <w:lastRenderedPageBreak/>
        <w:t>Select the “Datasets” tab, and press “Add new datasets”.</w:t>
      </w:r>
    </w:p>
    <w:p w14:paraId="1DBE1D8A" w14:textId="6C509757" w:rsidR="00E76642" w:rsidRDefault="00E76642" w:rsidP="00E76642">
      <w:pPr>
        <w:pStyle w:val="EGASP"/>
      </w:pPr>
      <w:r>
        <w:drawing>
          <wp:inline distT="0" distB="0" distL="0" distR="0" wp14:anchorId="6ACAD36C" wp14:editId="7B49DD17">
            <wp:extent cx="5732145" cy="4801870"/>
            <wp:effectExtent l="0" t="0" r="1905" b="0"/>
            <wp:docPr id="1393212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12147" name=""/>
                    <pic:cNvPicPr/>
                  </pic:nvPicPr>
                  <pic:blipFill>
                    <a:blip r:embed="rId26"/>
                    <a:stretch>
                      <a:fillRect/>
                    </a:stretch>
                  </pic:blipFill>
                  <pic:spPr>
                    <a:xfrm>
                      <a:off x="0" y="0"/>
                      <a:ext cx="5732145" cy="4801870"/>
                    </a:xfrm>
                    <a:prstGeom prst="rect">
                      <a:avLst/>
                    </a:prstGeom>
                  </pic:spPr>
                </pic:pic>
              </a:graphicData>
            </a:graphic>
          </wp:inline>
        </w:drawing>
      </w:r>
    </w:p>
    <w:p w14:paraId="439D38BB" w14:textId="77777777" w:rsidR="00C608DD" w:rsidRDefault="00C608DD" w:rsidP="00C608DD">
      <w:pPr>
        <w:pStyle w:val="EGASP"/>
      </w:pPr>
    </w:p>
    <w:p w14:paraId="7873D4CB" w14:textId="77777777" w:rsidR="00C608DD" w:rsidRDefault="00C608DD" w:rsidP="00C608DD">
      <w:pPr>
        <w:pStyle w:val="EGASP"/>
      </w:pPr>
    </w:p>
    <w:p w14:paraId="2AE4C1E1" w14:textId="77777777" w:rsidR="00C608DD" w:rsidRDefault="00C608DD" w:rsidP="00C608DD">
      <w:pPr>
        <w:pStyle w:val="EGASP"/>
      </w:pPr>
    </w:p>
    <w:p w14:paraId="728422C1" w14:textId="77777777" w:rsidR="00C608DD" w:rsidRDefault="00C608DD" w:rsidP="00C608DD">
      <w:pPr>
        <w:pStyle w:val="EGASP"/>
      </w:pPr>
    </w:p>
    <w:p w14:paraId="0781FFC2" w14:textId="77777777" w:rsidR="00C608DD" w:rsidRDefault="00C608DD" w:rsidP="00C608DD">
      <w:pPr>
        <w:pStyle w:val="EGASP"/>
      </w:pPr>
    </w:p>
    <w:p w14:paraId="4E882C70" w14:textId="77777777" w:rsidR="00C608DD" w:rsidRDefault="00C608DD" w:rsidP="00C608DD">
      <w:pPr>
        <w:pStyle w:val="EGASP"/>
      </w:pPr>
    </w:p>
    <w:p w14:paraId="61574734" w14:textId="77777777" w:rsidR="00C608DD" w:rsidRDefault="00C608DD" w:rsidP="00C608DD">
      <w:pPr>
        <w:pStyle w:val="EGASP"/>
      </w:pPr>
    </w:p>
    <w:p w14:paraId="5A67AE48" w14:textId="77777777" w:rsidR="00C608DD" w:rsidRDefault="00C608DD" w:rsidP="00C608DD">
      <w:pPr>
        <w:pStyle w:val="EGASP"/>
      </w:pPr>
    </w:p>
    <w:p w14:paraId="5084FE87" w14:textId="77777777" w:rsidR="00C608DD" w:rsidRDefault="00C608DD" w:rsidP="00C608DD">
      <w:pPr>
        <w:pStyle w:val="EGASP"/>
      </w:pPr>
    </w:p>
    <w:p w14:paraId="4B8945D7" w14:textId="77777777" w:rsidR="00C608DD" w:rsidRDefault="00C608DD" w:rsidP="00C608DD">
      <w:pPr>
        <w:pStyle w:val="EGASP"/>
      </w:pPr>
    </w:p>
    <w:p w14:paraId="4B923DD0" w14:textId="77777777" w:rsidR="00C608DD" w:rsidRDefault="00C608DD" w:rsidP="00C608DD">
      <w:pPr>
        <w:pStyle w:val="EGASP"/>
      </w:pPr>
    </w:p>
    <w:p w14:paraId="51938406" w14:textId="77777777" w:rsidR="00C608DD" w:rsidRDefault="00C608DD" w:rsidP="00C608DD">
      <w:pPr>
        <w:pStyle w:val="EGASP"/>
      </w:pPr>
    </w:p>
    <w:p w14:paraId="69464755" w14:textId="77777777" w:rsidR="00C608DD" w:rsidRDefault="00C608DD" w:rsidP="00C608DD">
      <w:pPr>
        <w:pStyle w:val="EGASP"/>
      </w:pPr>
    </w:p>
    <w:p w14:paraId="4219F50E" w14:textId="233CA9AE" w:rsidR="00C608DD" w:rsidRDefault="00C608DD" w:rsidP="00C608DD">
      <w:pPr>
        <w:pStyle w:val="Bodytextarrow"/>
      </w:pPr>
      <w:r>
        <w:lastRenderedPageBreak/>
        <w:t>On the following screen, press the button to “Download empty template”.</w:t>
      </w:r>
    </w:p>
    <w:p w14:paraId="4D255972" w14:textId="6D327141" w:rsidR="00C608DD" w:rsidRDefault="00C608DD" w:rsidP="00C608DD">
      <w:pPr>
        <w:pStyle w:val="EGASP"/>
      </w:pPr>
      <w:r>
        <w:drawing>
          <wp:inline distT="0" distB="0" distL="0" distR="0" wp14:anchorId="432FC798" wp14:editId="5522C161">
            <wp:extent cx="5732145" cy="4801870"/>
            <wp:effectExtent l="0" t="0" r="1905" b="0"/>
            <wp:docPr id="1082319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19059" name=""/>
                    <pic:cNvPicPr/>
                  </pic:nvPicPr>
                  <pic:blipFill>
                    <a:blip r:embed="rId27"/>
                    <a:stretch>
                      <a:fillRect/>
                    </a:stretch>
                  </pic:blipFill>
                  <pic:spPr>
                    <a:xfrm>
                      <a:off x="0" y="0"/>
                      <a:ext cx="5732145" cy="4801870"/>
                    </a:xfrm>
                    <a:prstGeom prst="rect">
                      <a:avLst/>
                    </a:prstGeom>
                  </pic:spPr>
                </pic:pic>
              </a:graphicData>
            </a:graphic>
          </wp:inline>
        </w:drawing>
      </w:r>
    </w:p>
    <w:p w14:paraId="61A8C230" w14:textId="747F9AF8" w:rsidR="00C912FC" w:rsidRPr="00E8562B" w:rsidRDefault="00E8562B" w:rsidP="00C912FC">
      <w:pPr>
        <w:pStyle w:val="Bodytextarrow"/>
        <w:rPr>
          <w:lang w:val="en-US"/>
        </w:rPr>
      </w:pPr>
      <w:r>
        <w:t xml:space="preserve">By default, the Excel file will be saved to your computer’s designated “Downloads” folder. You may wish to move the file to the C:\WHONET\Data\ folder. Please note the location of the file in either case so that you can easily </w:t>
      </w:r>
      <w:r w:rsidR="00352B41">
        <w:t xml:space="preserve">find </w:t>
      </w:r>
      <w:r>
        <w:t xml:space="preserve">it </w:t>
      </w:r>
      <w:r w:rsidR="00F84AB9">
        <w:t>for</w:t>
      </w:r>
      <w:r>
        <w:t xml:space="preserve"> the next section.</w:t>
      </w:r>
    </w:p>
    <w:p w14:paraId="076C27BF" w14:textId="77777777" w:rsidR="00C912FC" w:rsidRPr="00C912FC" w:rsidRDefault="00C912FC" w:rsidP="00C912FC">
      <w:pPr>
        <w:rPr>
          <w:lang w:val="en-US"/>
        </w:rPr>
      </w:pPr>
    </w:p>
    <w:p w14:paraId="09B35B2E" w14:textId="77777777" w:rsidR="004179D1" w:rsidRDefault="004179D1" w:rsidP="00D55252">
      <w:pPr>
        <w:pStyle w:val="Heading2"/>
        <w:numPr>
          <w:ilvl w:val="1"/>
          <w:numId w:val="11"/>
        </w:numPr>
        <w:ind w:left="709" w:hanging="709"/>
      </w:pPr>
      <w:bookmarkStart w:id="31" w:name="_Toc466271235"/>
      <w:bookmarkStart w:id="32" w:name="_Toc170728123"/>
      <w:r>
        <w:t>Aggregation of WHONET files</w:t>
      </w:r>
      <w:bookmarkEnd w:id="31"/>
      <w:bookmarkEnd w:id="32"/>
    </w:p>
    <w:p w14:paraId="40BDAAC9" w14:textId="2B53EEEA" w:rsidR="00C21EE1" w:rsidRPr="00AF1676" w:rsidRDefault="00584D55" w:rsidP="00967FAC">
      <w:pPr>
        <w:pStyle w:val="BodyText"/>
        <w:rPr>
          <w:lang w:val="en-GB"/>
        </w:rPr>
      </w:pPr>
      <w:r>
        <w:rPr>
          <w:lang w:val="en-GB"/>
        </w:rPr>
        <w:t>The next steps describe</w:t>
      </w:r>
      <w:r w:rsidR="00E66700">
        <w:rPr>
          <w:lang w:val="en-GB"/>
        </w:rPr>
        <w:t xml:space="preserve"> the aggregation of one or several </w:t>
      </w:r>
      <w:r>
        <w:rPr>
          <w:lang w:val="en-GB"/>
        </w:rPr>
        <w:t xml:space="preserve">data </w:t>
      </w:r>
      <w:r w:rsidR="00E66700">
        <w:rPr>
          <w:lang w:val="en-GB"/>
        </w:rPr>
        <w:t xml:space="preserve">files directly into the </w:t>
      </w:r>
      <w:r w:rsidR="00996D56">
        <w:rPr>
          <w:lang w:val="en-GB"/>
        </w:rPr>
        <w:t>EGASP</w:t>
      </w:r>
      <w:r w:rsidR="00E66700">
        <w:rPr>
          <w:lang w:val="en-GB"/>
        </w:rPr>
        <w:t xml:space="preserve"> </w:t>
      </w:r>
      <w:r>
        <w:rPr>
          <w:lang w:val="en-GB"/>
        </w:rPr>
        <w:t xml:space="preserve">exchange </w:t>
      </w:r>
      <w:r w:rsidR="00E66700">
        <w:rPr>
          <w:lang w:val="en-GB"/>
        </w:rPr>
        <w:t>format.</w:t>
      </w:r>
      <w:r>
        <w:rPr>
          <w:lang w:val="en-GB"/>
        </w:rPr>
        <w:t xml:space="preserve"> </w:t>
      </w:r>
      <w:r w:rsidR="00D5623E">
        <w:rPr>
          <w:lang w:val="en-GB"/>
        </w:rPr>
        <w:t>The created data will be transferred to the “empty download template” file obtained in the previous section.</w:t>
      </w:r>
    </w:p>
    <w:p w14:paraId="474DA7E7" w14:textId="77777777" w:rsidR="00030222" w:rsidRPr="00AF1676" w:rsidRDefault="00030222" w:rsidP="00967FAC">
      <w:pPr>
        <w:pStyle w:val="Bodytextarrow"/>
      </w:pPr>
      <w:r>
        <w:t xml:space="preserve">From the main WHONET menu, </w:t>
      </w:r>
      <w:r w:rsidR="00DC4D94">
        <w:t xml:space="preserve">again </w:t>
      </w:r>
      <w:r>
        <w:t>select “Open laboratory” and choose the laboratory with the corresponding configuration</w:t>
      </w:r>
      <w:r w:rsidR="0007482B">
        <w:t xml:space="preserve"> </w:t>
      </w:r>
      <w:r>
        <w:t>created previously.</w:t>
      </w:r>
    </w:p>
    <w:p w14:paraId="092F1C51" w14:textId="77777777" w:rsidR="00C21EE1" w:rsidRDefault="00C21EE1" w:rsidP="00967FAC">
      <w:pPr>
        <w:pStyle w:val="Bodytextarrow"/>
      </w:pPr>
      <w:r w:rsidRPr="001132C1">
        <w:t>From the main WHONET menu, select “Data entry”, “Combine or export data files”.</w:t>
      </w:r>
    </w:p>
    <w:p w14:paraId="6F5E0945" w14:textId="4ED4D581" w:rsidR="00C21EE1" w:rsidRPr="001132C1" w:rsidRDefault="006B6156">
      <w:pPr>
        <w:pStyle w:val="BodyText"/>
        <w:jc w:val="both"/>
        <w:rPr>
          <w:sz w:val="20"/>
          <w:lang w:val="en-GB"/>
        </w:rPr>
      </w:pPr>
      <w:r>
        <w:rPr>
          <w:noProof/>
        </w:rPr>
        <w:lastRenderedPageBreak/>
        <w:drawing>
          <wp:inline distT="0" distB="0" distL="0" distR="0" wp14:anchorId="560F9579" wp14:editId="596B146B">
            <wp:extent cx="5732145" cy="2868295"/>
            <wp:effectExtent l="0" t="0" r="1905" b="8255"/>
            <wp:docPr id="91153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3235" name=""/>
                    <pic:cNvPicPr/>
                  </pic:nvPicPr>
                  <pic:blipFill>
                    <a:blip r:embed="rId28"/>
                    <a:stretch>
                      <a:fillRect/>
                    </a:stretch>
                  </pic:blipFill>
                  <pic:spPr>
                    <a:xfrm>
                      <a:off x="0" y="0"/>
                      <a:ext cx="5732145" cy="2868295"/>
                    </a:xfrm>
                    <a:prstGeom prst="rect">
                      <a:avLst/>
                    </a:prstGeom>
                  </pic:spPr>
                </pic:pic>
              </a:graphicData>
            </a:graphic>
          </wp:inline>
        </w:drawing>
      </w:r>
    </w:p>
    <w:p w14:paraId="05967E9A" w14:textId="77777777" w:rsidR="00C21EE1" w:rsidRDefault="00C21EE1" w:rsidP="005051D6">
      <w:pPr>
        <w:pStyle w:val="BodyText"/>
        <w:jc w:val="center"/>
        <w:rPr>
          <w:sz w:val="20"/>
        </w:rPr>
      </w:pPr>
    </w:p>
    <w:p w14:paraId="79838806" w14:textId="77777777" w:rsidR="00C21EE1" w:rsidRPr="001132C1" w:rsidRDefault="00C21EE1" w:rsidP="00967FAC">
      <w:pPr>
        <w:pStyle w:val="Bodytextarrow"/>
      </w:pPr>
      <w:r w:rsidRPr="001132C1">
        <w:t xml:space="preserve">Click on “Data files”.  </w:t>
      </w:r>
    </w:p>
    <w:p w14:paraId="46064338" w14:textId="73459845" w:rsidR="00C21EE1" w:rsidRDefault="00C21EE1" w:rsidP="00C62950">
      <w:pPr>
        <w:pStyle w:val="BodyText"/>
        <w:jc w:val="center"/>
        <w:rPr>
          <w:lang w:val="en-GB"/>
        </w:rPr>
      </w:pPr>
      <w:r w:rsidRPr="001132C1">
        <w:rPr>
          <w:lang w:val="en-GB"/>
        </w:rPr>
        <w:t>The next screen will ap</w:t>
      </w:r>
      <w:r w:rsidR="00D8708A">
        <w:rPr>
          <w:lang w:val="en-GB"/>
        </w:rPr>
        <w:t>p</w:t>
      </w:r>
      <w:r w:rsidRPr="001132C1">
        <w:rPr>
          <w:lang w:val="en-GB"/>
        </w:rPr>
        <w:t>ear</w:t>
      </w:r>
      <w:r w:rsidR="00AF1676">
        <w:rPr>
          <w:lang w:val="en-GB"/>
        </w:rPr>
        <w:t xml:space="preserve"> (example </w:t>
      </w:r>
      <w:r w:rsidR="00AF1676" w:rsidRPr="00967FAC">
        <w:t>file</w:t>
      </w:r>
      <w:r w:rsidR="00AF1676">
        <w:rPr>
          <w:lang w:val="en-GB"/>
        </w:rPr>
        <w:t xml:space="preserve"> is</w:t>
      </w:r>
      <w:r w:rsidR="00F9454E">
        <w:rPr>
          <w:lang w:val="en-GB"/>
        </w:rPr>
        <w:t xml:space="preserve"> displayed</w:t>
      </w:r>
      <w:r w:rsidR="00030222">
        <w:rPr>
          <w:lang w:val="en-GB"/>
        </w:rPr>
        <w:t>)</w:t>
      </w:r>
      <w:r w:rsidRPr="001132C1">
        <w:rPr>
          <w:lang w:val="en-GB"/>
        </w:rPr>
        <w:t>:</w:t>
      </w:r>
      <w:r w:rsidR="00C62950" w:rsidRPr="00C62950">
        <w:rPr>
          <w:noProof/>
          <w:lang w:val="en-GB" w:eastAsia="zh-CN"/>
        </w:rPr>
        <w:t xml:space="preserve"> </w:t>
      </w:r>
      <w:r w:rsidR="006B6156">
        <w:rPr>
          <w:noProof/>
        </w:rPr>
        <w:drawing>
          <wp:inline distT="0" distB="0" distL="0" distR="0" wp14:anchorId="4FEF8647" wp14:editId="3B5BFB7D">
            <wp:extent cx="5732145" cy="3197860"/>
            <wp:effectExtent l="0" t="0" r="1905" b="2540"/>
            <wp:docPr id="903942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42177" name=""/>
                    <pic:cNvPicPr/>
                  </pic:nvPicPr>
                  <pic:blipFill>
                    <a:blip r:embed="rId29"/>
                    <a:stretch>
                      <a:fillRect/>
                    </a:stretch>
                  </pic:blipFill>
                  <pic:spPr>
                    <a:xfrm>
                      <a:off x="0" y="0"/>
                      <a:ext cx="5732145" cy="3197860"/>
                    </a:xfrm>
                    <a:prstGeom prst="rect">
                      <a:avLst/>
                    </a:prstGeom>
                  </pic:spPr>
                </pic:pic>
              </a:graphicData>
            </a:graphic>
          </wp:inline>
        </w:drawing>
      </w:r>
    </w:p>
    <w:p w14:paraId="794D8AB1" w14:textId="77777777" w:rsidR="00161E7E" w:rsidRDefault="00161E7E" w:rsidP="00967FAC">
      <w:pPr>
        <w:pStyle w:val="Bodytextarrow"/>
      </w:pPr>
      <w:r w:rsidRPr="00161E7E">
        <w:t xml:space="preserve">Choose </w:t>
      </w:r>
      <w:r w:rsidR="007508C9">
        <w:t>“</w:t>
      </w:r>
      <w:r w:rsidRPr="00161E7E">
        <w:t>All files (</w:t>
      </w:r>
      <w:proofErr w:type="gramStart"/>
      <w:r w:rsidRPr="00161E7E">
        <w:t>*.*</w:t>
      </w:r>
      <w:proofErr w:type="gramEnd"/>
      <w:r>
        <w:t>)</w:t>
      </w:r>
      <w:r w:rsidR="007508C9">
        <w:t>”</w:t>
      </w:r>
      <w:r>
        <w:t xml:space="preserve"> to get a list</w:t>
      </w:r>
      <w:r w:rsidR="00AF1676">
        <w:t xml:space="preserve"> of all files</w:t>
      </w:r>
      <w:r>
        <w:t>.</w:t>
      </w:r>
    </w:p>
    <w:p w14:paraId="2ECE8FDA" w14:textId="5D3BCC69" w:rsidR="005C5DC1" w:rsidRDefault="00C21EE1" w:rsidP="00967FAC">
      <w:pPr>
        <w:pStyle w:val="Bodytextarrow"/>
      </w:pPr>
      <w:r w:rsidRPr="001132C1">
        <w:t xml:space="preserve">Using the “--&gt;” button, select the data files to </w:t>
      </w:r>
      <w:r w:rsidR="0007482B">
        <w:t xml:space="preserve">be </w:t>
      </w:r>
      <w:r w:rsidRPr="001132C1">
        <w:t>export</w:t>
      </w:r>
      <w:r w:rsidR="0007482B">
        <w:t>ed</w:t>
      </w:r>
      <w:r w:rsidRPr="001132C1">
        <w:t xml:space="preserve"> to t</w:t>
      </w:r>
      <w:r w:rsidR="005C5DC1">
        <w:t xml:space="preserve">he </w:t>
      </w:r>
      <w:r w:rsidR="00996D56">
        <w:t>EGASP</w:t>
      </w:r>
      <w:r w:rsidR="005C5DC1">
        <w:t xml:space="preserve"> data exchange format. </w:t>
      </w:r>
    </w:p>
    <w:p w14:paraId="4571793C" w14:textId="77777777" w:rsidR="00C21EE1" w:rsidRPr="001132C1" w:rsidRDefault="00FA026A" w:rsidP="00967FAC">
      <w:pPr>
        <w:pStyle w:val="Bodytextarrow"/>
      </w:pPr>
      <w:r>
        <w:t>Click “OK”.</w:t>
      </w:r>
      <w:r w:rsidR="00C21EE1" w:rsidRPr="001132C1">
        <w:t xml:space="preserve"> You will return to the previous screen.</w:t>
      </w:r>
    </w:p>
    <w:p w14:paraId="2D44C0E0" w14:textId="77777777" w:rsidR="005C5DC1" w:rsidRPr="00C05249" w:rsidRDefault="00C21EE1" w:rsidP="00967FAC">
      <w:pPr>
        <w:pStyle w:val="Bodytextarrow"/>
        <w:rPr>
          <w:rFonts w:cstheme="minorHAnsi"/>
        </w:rPr>
      </w:pPr>
      <w:r w:rsidRPr="00C05249">
        <w:rPr>
          <w:rFonts w:cstheme="minorHAnsi"/>
        </w:rPr>
        <w:t>Indicate a name fo</w:t>
      </w:r>
      <w:r w:rsidR="007F5E78" w:rsidRPr="00C05249">
        <w:rPr>
          <w:rFonts w:cstheme="minorHAnsi"/>
        </w:rPr>
        <w:t>r the new combined, export file</w:t>
      </w:r>
      <w:r w:rsidR="007F5E78" w:rsidRPr="00C05249">
        <w:rPr>
          <w:rFonts w:cstheme="minorHAnsi"/>
          <w:i/>
        </w:rPr>
        <w:t>.</w:t>
      </w:r>
    </w:p>
    <w:p w14:paraId="0E2E4EB7" w14:textId="698A34F8" w:rsidR="00996D56" w:rsidRDefault="00C21EE1" w:rsidP="00996D56">
      <w:pPr>
        <w:pStyle w:val="Bodytextarrow"/>
        <w:rPr>
          <w:rFonts w:cstheme="minorHAnsi"/>
        </w:rPr>
      </w:pPr>
      <w:r w:rsidRPr="00C05249">
        <w:rPr>
          <w:rFonts w:cstheme="minorHAnsi"/>
        </w:rPr>
        <w:t>Under “Save as type”, change the export format from “WHONET” to “</w:t>
      </w:r>
      <w:r w:rsidR="00996D56">
        <w:rPr>
          <w:rFonts w:cstheme="minorHAnsi"/>
        </w:rPr>
        <w:t>WHO GLASS-EGASP</w:t>
      </w:r>
      <w:r w:rsidRPr="00C05249">
        <w:rPr>
          <w:rFonts w:cstheme="minorHAnsi"/>
        </w:rPr>
        <w:t>”.</w:t>
      </w:r>
    </w:p>
    <w:p w14:paraId="761EF292" w14:textId="6C4C03AF" w:rsidR="00996D56" w:rsidRDefault="00996D56" w:rsidP="00996D56">
      <w:pPr>
        <w:pStyle w:val="Bodytextarrow"/>
        <w:rPr>
          <w:rFonts w:cstheme="minorHAnsi"/>
        </w:rPr>
      </w:pPr>
      <w:r>
        <w:rPr>
          <w:rFonts w:cstheme="minorHAnsi"/>
        </w:rPr>
        <w:lastRenderedPageBreak/>
        <w:t>Enter the start and end date for the data which you wish to include in this export.</w:t>
      </w:r>
    </w:p>
    <w:p w14:paraId="2C86A252" w14:textId="295BBF56" w:rsidR="003A24F8" w:rsidRDefault="003A24F8" w:rsidP="00996D56">
      <w:pPr>
        <w:pStyle w:val="Bodytextarrow"/>
        <w:rPr>
          <w:rFonts w:cstheme="minorHAnsi"/>
        </w:rPr>
      </w:pPr>
      <w:r>
        <w:rPr>
          <w:rFonts w:cstheme="minorHAnsi"/>
        </w:rPr>
        <w:t>Press the “Browse” button associated with the “New data file” area.</w:t>
      </w:r>
    </w:p>
    <w:p w14:paraId="77DA8175" w14:textId="74BDC9C8" w:rsidR="003A24F8" w:rsidRDefault="003A24F8" w:rsidP="00996D56">
      <w:pPr>
        <w:pStyle w:val="Bodytextarrow"/>
        <w:rPr>
          <w:rFonts w:cstheme="minorHAnsi"/>
        </w:rPr>
      </w:pPr>
      <w:r>
        <w:rPr>
          <w:rFonts w:cstheme="minorHAnsi"/>
        </w:rPr>
        <w:t xml:space="preserve">Use the file selection dialog to choose the empty template file downloaded previously from the EGASP </w:t>
      </w:r>
      <w:r w:rsidR="00C37B1F">
        <w:rPr>
          <w:rFonts w:cstheme="minorHAnsi"/>
        </w:rPr>
        <w:t xml:space="preserve">IT </w:t>
      </w:r>
      <w:r>
        <w:rPr>
          <w:rFonts w:cstheme="minorHAnsi"/>
        </w:rPr>
        <w:t>platform.</w:t>
      </w:r>
    </w:p>
    <w:p w14:paraId="5D8A32B6" w14:textId="12C0D5FA" w:rsidR="00AD3B1E" w:rsidRDefault="00F316AB" w:rsidP="00AD3B1E">
      <w:pPr>
        <w:pStyle w:val="EGASP"/>
      </w:pPr>
      <w:r>
        <w:drawing>
          <wp:inline distT="0" distB="0" distL="0" distR="0" wp14:anchorId="0ADD9950" wp14:editId="7224CB86">
            <wp:extent cx="5732145" cy="3289300"/>
            <wp:effectExtent l="0" t="0" r="1905" b="6350"/>
            <wp:docPr id="106828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80090" name=""/>
                    <pic:cNvPicPr/>
                  </pic:nvPicPr>
                  <pic:blipFill>
                    <a:blip r:embed="rId30"/>
                    <a:stretch>
                      <a:fillRect/>
                    </a:stretch>
                  </pic:blipFill>
                  <pic:spPr>
                    <a:xfrm>
                      <a:off x="0" y="0"/>
                      <a:ext cx="5732145" cy="3289300"/>
                    </a:xfrm>
                    <a:prstGeom prst="rect">
                      <a:avLst/>
                    </a:prstGeom>
                  </pic:spPr>
                </pic:pic>
              </a:graphicData>
            </a:graphic>
          </wp:inline>
        </w:drawing>
      </w:r>
    </w:p>
    <w:p w14:paraId="7FC8A494" w14:textId="0EEF58A6" w:rsidR="00996D56" w:rsidRDefault="0021316B" w:rsidP="0021316B">
      <w:pPr>
        <w:pStyle w:val="Bodytextarrow"/>
      </w:pPr>
      <w:r>
        <w:t>Press “Combine” near the bottom of the form.</w:t>
      </w:r>
    </w:p>
    <w:p w14:paraId="79A70DBD" w14:textId="756D985F" w:rsidR="0021316B" w:rsidRPr="00996D56" w:rsidRDefault="00DF2198" w:rsidP="0021316B">
      <w:pPr>
        <w:pStyle w:val="EGASP"/>
      </w:pPr>
      <w:r>
        <w:drawing>
          <wp:inline distT="0" distB="0" distL="0" distR="0" wp14:anchorId="087B7731" wp14:editId="61C7759C">
            <wp:extent cx="5732145" cy="2868295"/>
            <wp:effectExtent l="0" t="0" r="1905" b="8255"/>
            <wp:docPr id="1547573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73977" name=""/>
                    <pic:cNvPicPr/>
                  </pic:nvPicPr>
                  <pic:blipFill>
                    <a:blip r:embed="rId31"/>
                    <a:stretch>
                      <a:fillRect/>
                    </a:stretch>
                  </pic:blipFill>
                  <pic:spPr>
                    <a:xfrm>
                      <a:off x="0" y="0"/>
                      <a:ext cx="5732145" cy="2868295"/>
                    </a:xfrm>
                    <a:prstGeom prst="rect">
                      <a:avLst/>
                    </a:prstGeom>
                  </pic:spPr>
                </pic:pic>
              </a:graphicData>
            </a:graphic>
          </wp:inline>
        </w:drawing>
      </w:r>
    </w:p>
    <w:p w14:paraId="675B9F05" w14:textId="77777777" w:rsidR="00DA476E" w:rsidRDefault="00DE335C" w:rsidP="00967FAC">
      <w:pPr>
        <w:pStyle w:val="BodyText"/>
      </w:pPr>
      <w:r>
        <w:t xml:space="preserve">WHONET will generate 2 </w:t>
      </w:r>
      <w:r w:rsidR="00DA476E">
        <w:t>files:</w:t>
      </w:r>
    </w:p>
    <w:p w14:paraId="40F062F3" w14:textId="5E633E72" w:rsidR="00DA476E" w:rsidRDefault="00FC192C" w:rsidP="00F40BBD">
      <w:pPr>
        <w:pStyle w:val="Bodytextbullet"/>
      </w:pPr>
      <w:r>
        <w:t>The EGASP data will be saved to the empty template file’s “Data entry” sheet.</w:t>
      </w:r>
    </w:p>
    <w:p w14:paraId="6110DFD7" w14:textId="0CA6339B" w:rsidR="00DA476E" w:rsidRDefault="00996D56" w:rsidP="00F40BBD">
      <w:pPr>
        <w:pStyle w:val="Bodytextbullet"/>
      </w:pPr>
      <w:r>
        <w:t xml:space="preserve">The EGASP data monitoring </w:t>
      </w:r>
      <w:r w:rsidR="00536FEB">
        <w:t xml:space="preserve">Excel </w:t>
      </w:r>
      <w:r>
        <w:t>report.</w:t>
      </w:r>
      <w:r w:rsidR="00536FEB">
        <w:t xml:space="preserve"> Note that it may take a few minutes to generate this document, so please be patient.</w:t>
      </w:r>
    </w:p>
    <w:p w14:paraId="2F9E36DA" w14:textId="0C665BDF" w:rsidR="00DA476E" w:rsidRPr="00967FAC" w:rsidRDefault="00996D56" w:rsidP="00967FAC">
      <w:pPr>
        <w:pStyle w:val="BodyText"/>
      </w:pPr>
      <w:r>
        <w:t xml:space="preserve">Only the first </w:t>
      </w:r>
      <w:r w:rsidR="00DA476E" w:rsidRPr="00967FAC">
        <w:t xml:space="preserve">file </w:t>
      </w:r>
      <w:r w:rsidR="00796018" w:rsidRPr="00967FAC">
        <w:t>should</w:t>
      </w:r>
      <w:r w:rsidR="00DA476E" w:rsidRPr="00967FAC">
        <w:t xml:space="preserve"> be uploaded to the </w:t>
      </w:r>
      <w:r>
        <w:t>EGASP</w:t>
      </w:r>
      <w:r w:rsidR="00DA476E" w:rsidRPr="00967FAC">
        <w:t xml:space="preserve"> IT platform.</w:t>
      </w:r>
    </w:p>
    <w:p w14:paraId="427B8FE7" w14:textId="309FD89E" w:rsidR="00C62950" w:rsidRDefault="00C62950" w:rsidP="00254339">
      <w:pPr>
        <w:pStyle w:val="BodyText"/>
        <w:rPr>
          <w:lang w:val="en-GB"/>
        </w:rPr>
      </w:pPr>
    </w:p>
    <w:p w14:paraId="194C710E" w14:textId="39DFC2E1" w:rsidR="00C21EE1" w:rsidRPr="001132C1" w:rsidRDefault="00536FEB" w:rsidP="00D55252">
      <w:pPr>
        <w:pStyle w:val="Heading1"/>
        <w:rPr>
          <w:lang w:val="en-GB"/>
        </w:rPr>
      </w:pPr>
      <w:bookmarkStart w:id="33" w:name="_Toc466271237"/>
      <w:bookmarkStart w:id="34" w:name="_Toc170728124"/>
      <w:r>
        <w:rPr>
          <w:lang w:val="en-GB"/>
        </w:rPr>
        <w:t>EGASP</w:t>
      </w:r>
      <w:r w:rsidR="006361D5">
        <w:rPr>
          <w:lang w:val="en-GB"/>
        </w:rPr>
        <w:t xml:space="preserve"> </w:t>
      </w:r>
      <w:r w:rsidR="001D5C0F">
        <w:rPr>
          <w:lang w:val="en-GB"/>
        </w:rPr>
        <w:t xml:space="preserve">Data </w:t>
      </w:r>
      <w:r>
        <w:rPr>
          <w:lang w:val="en-GB"/>
        </w:rPr>
        <w:t>Monitoring</w:t>
      </w:r>
      <w:r w:rsidR="001D5C0F">
        <w:rPr>
          <w:lang w:val="en-GB"/>
        </w:rPr>
        <w:t xml:space="preserve"> and F</w:t>
      </w:r>
      <w:r w:rsidR="00BF7432">
        <w:rPr>
          <w:lang w:val="en-GB"/>
        </w:rPr>
        <w:t xml:space="preserve">eedback </w:t>
      </w:r>
      <w:r w:rsidR="001D5C0F">
        <w:rPr>
          <w:lang w:val="en-GB"/>
        </w:rPr>
        <w:t>Report</w:t>
      </w:r>
      <w:bookmarkEnd w:id="33"/>
      <w:bookmarkEnd w:id="34"/>
    </w:p>
    <w:p w14:paraId="2499DB49" w14:textId="77777777" w:rsidR="00B62A99" w:rsidRPr="006A11A8" w:rsidRDefault="001D5C0F" w:rsidP="006B0FE9">
      <w:pPr>
        <w:pStyle w:val="Bodytextarrow"/>
      </w:pPr>
      <w:r>
        <w:t>After completion of the data file</w:t>
      </w:r>
      <w:r w:rsidR="00B62A99">
        <w:t>s</w:t>
      </w:r>
      <w:r>
        <w:t xml:space="preserve"> export,</w:t>
      </w:r>
      <w:r w:rsidR="00B62A99">
        <w:t xml:space="preserve"> </w:t>
      </w:r>
      <w:r w:rsidR="007909A0">
        <w:t xml:space="preserve">the </w:t>
      </w:r>
      <w:r w:rsidR="00B62A99">
        <w:t>following screen</w:t>
      </w:r>
      <w:r w:rsidR="008A69CB">
        <w:t xml:space="preserve"> will appear</w:t>
      </w:r>
      <w:r w:rsidR="006A11A8">
        <w:t>:</w:t>
      </w:r>
    </w:p>
    <w:p w14:paraId="3D7E5803" w14:textId="597ECBF1" w:rsidR="002660F6" w:rsidRDefault="00536FEB" w:rsidP="00C62950">
      <w:pPr>
        <w:pStyle w:val="BodyText"/>
        <w:jc w:val="center"/>
        <w:rPr>
          <w:lang w:val="en-GB"/>
        </w:rPr>
      </w:pPr>
      <w:r>
        <w:rPr>
          <w:noProof/>
        </w:rPr>
        <w:drawing>
          <wp:inline distT="0" distB="0" distL="0" distR="0" wp14:anchorId="7062C3CD" wp14:editId="17FE74DA">
            <wp:extent cx="3781425" cy="16383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81425" cy="1638300"/>
                    </a:xfrm>
                    <a:prstGeom prst="rect">
                      <a:avLst/>
                    </a:prstGeom>
                  </pic:spPr>
                </pic:pic>
              </a:graphicData>
            </a:graphic>
          </wp:inline>
        </w:drawing>
      </w:r>
    </w:p>
    <w:p w14:paraId="1CB23014" w14:textId="156BB982" w:rsidR="000A0DA5" w:rsidRPr="00C775EC" w:rsidRDefault="000A0DA5" w:rsidP="006B0FE9">
      <w:pPr>
        <w:pStyle w:val="Bodytextarrow"/>
      </w:pPr>
      <w:r>
        <w:t xml:space="preserve">By clicking on “Yes”, the </w:t>
      </w:r>
      <w:r w:rsidR="00EF1FA2">
        <w:t xml:space="preserve">following </w:t>
      </w:r>
      <w:r w:rsidR="00536FEB">
        <w:t>EGASP</w:t>
      </w:r>
      <w:r>
        <w:t xml:space="preserve"> </w:t>
      </w:r>
      <w:r w:rsidR="0029184E">
        <w:t>report will be opened in Excel for you to review.</w:t>
      </w:r>
    </w:p>
    <w:p w14:paraId="7AEB36BE" w14:textId="5C2CDC27" w:rsidR="00D26B00" w:rsidRPr="00C775EC" w:rsidRDefault="0029184E" w:rsidP="0029184E">
      <w:pPr>
        <w:pStyle w:val="BodyText"/>
        <w:jc w:val="center"/>
        <w:rPr>
          <w:lang w:val="en-GB"/>
        </w:rPr>
      </w:pPr>
      <w:r>
        <w:rPr>
          <w:noProof/>
        </w:rPr>
        <w:drawing>
          <wp:inline distT="0" distB="0" distL="0" distR="0" wp14:anchorId="40069CCF" wp14:editId="73FDF49C">
            <wp:extent cx="5732145" cy="2818130"/>
            <wp:effectExtent l="0" t="0" r="1905"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2145" cy="2818130"/>
                    </a:xfrm>
                    <a:prstGeom prst="rect">
                      <a:avLst/>
                    </a:prstGeom>
                  </pic:spPr>
                </pic:pic>
              </a:graphicData>
            </a:graphic>
          </wp:inline>
        </w:drawing>
      </w:r>
    </w:p>
    <w:p w14:paraId="2CA0222B" w14:textId="111F958C" w:rsidR="0007531B" w:rsidRDefault="003B1145" w:rsidP="006B0FE9">
      <w:pPr>
        <w:pStyle w:val="Bodytextarrow"/>
      </w:pPr>
      <w:r>
        <w:t>There are up to 8 Excel sheets in this report.</w:t>
      </w:r>
    </w:p>
    <w:p w14:paraId="03B8CCF1" w14:textId="2599C278" w:rsidR="003B1145" w:rsidRDefault="003B1145" w:rsidP="003B1145">
      <w:pPr>
        <w:pStyle w:val="Bodytextarrow"/>
        <w:numPr>
          <w:ilvl w:val="1"/>
          <w:numId w:val="3"/>
        </w:numPr>
      </w:pPr>
      <w:r>
        <w:t>Validation summary</w:t>
      </w:r>
    </w:p>
    <w:p w14:paraId="16C64180" w14:textId="4F15E5C9" w:rsidR="003B1145" w:rsidRDefault="003B1145" w:rsidP="003B1145">
      <w:pPr>
        <w:pStyle w:val="Bodytextarrow"/>
        <w:numPr>
          <w:ilvl w:val="2"/>
          <w:numId w:val="3"/>
        </w:numPr>
      </w:pPr>
      <w:r>
        <w:t>This sheet will only be present if there were validity issues detected with the values in your data file. For example, if the letter “x” was entered instead of the expected value “1” or “2”.</w:t>
      </w:r>
    </w:p>
    <w:p w14:paraId="161D2C69" w14:textId="7E94D3E3" w:rsidR="003B1145" w:rsidRDefault="003B1145" w:rsidP="003B1145">
      <w:pPr>
        <w:pStyle w:val="Bodytextarrow"/>
        <w:numPr>
          <w:ilvl w:val="1"/>
          <w:numId w:val="3"/>
        </w:numPr>
      </w:pPr>
      <w:r>
        <w:t>Validation details</w:t>
      </w:r>
    </w:p>
    <w:p w14:paraId="4FDEE6FE" w14:textId="76B6188D" w:rsidR="00396173" w:rsidRDefault="003B1145" w:rsidP="00396173">
      <w:pPr>
        <w:pStyle w:val="Bodytextarrow"/>
        <w:numPr>
          <w:ilvl w:val="2"/>
          <w:numId w:val="3"/>
        </w:numPr>
      </w:pPr>
      <w:r>
        <w:t>This sheet will provide a detailed view of the messages summarized in the first sheet. It will only be present if validity issues were detected.</w:t>
      </w:r>
    </w:p>
    <w:p w14:paraId="5FE03498" w14:textId="29A90994" w:rsidR="003B1145" w:rsidRDefault="003B1145" w:rsidP="003B1145">
      <w:pPr>
        <w:pStyle w:val="Bodytextarrow"/>
        <w:numPr>
          <w:ilvl w:val="1"/>
          <w:numId w:val="3"/>
        </w:numPr>
      </w:pPr>
      <w:r>
        <w:t>Consistency summary</w:t>
      </w:r>
    </w:p>
    <w:p w14:paraId="54E14975" w14:textId="07B8E002" w:rsidR="003B1145" w:rsidRDefault="003B1145" w:rsidP="003B1145">
      <w:pPr>
        <w:pStyle w:val="Bodytextarrow"/>
        <w:numPr>
          <w:ilvl w:val="2"/>
          <w:numId w:val="3"/>
        </w:numPr>
      </w:pPr>
      <w:r>
        <w:t xml:space="preserve">This sheet will only be present if there were consistency issues detected with the responses you provided in the data file. For example, if you indicated that retesting </w:t>
      </w:r>
      <w:r>
        <w:lastRenderedPageBreak/>
        <w:t>was done on the isolate, but we don’t have confirmatory test results for that isolate.</w:t>
      </w:r>
    </w:p>
    <w:p w14:paraId="5A765556" w14:textId="36C70A02" w:rsidR="003B1145" w:rsidRDefault="003B1145" w:rsidP="003B1145">
      <w:pPr>
        <w:pStyle w:val="Bodytextarrow"/>
        <w:numPr>
          <w:ilvl w:val="1"/>
          <w:numId w:val="3"/>
        </w:numPr>
      </w:pPr>
      <w:r>
        <w:t>Consistency details</w:t>
      </w:r>
    </w:p>
    <w:p w14:paraId="0CD7C353" w14:textId="409E6E44" w:rsidR="003B1145" w:rsidRDefault="003B1145" w:rsidP="003B1145">
      <w:pPr>
        <w:pStyle w:val="Bodytextarrow"/>
        <w:numPr>
          <w:ilvl w:val="2"/>
          <w:numId w:val="3"/>
        </w:numPr>
      </w:pPr>
      <w:r>
        <w:t>This sheet provides a detailed view of the messages summarized in the consistency summary. It will only be present if consistency issues were detected.</w:t>
      </w:r>
    </w:p>
    <w:p w14:paraId="18F8F874" w14:textId="32DF6EF5" w:rsidR="00396173" w:rsidRDefault="00396173" w:rsidP="003B1145">
      <w:pPr>
        <w:pStyle w:val="Bodytextarrow"/>
        <w:numPr>
          <w:ilvl w:val="2"/>
          <w:numId w:val="3"/>
        </w:numPr>
      </w:pPr>
      <w:r>
        <w:t>Both the validation and consistency details sheets provide identifying information which you can use to look up and correct the problems in the WHONET data file.</w:t>
      </w:r>
    </w:p>
    <w:p w14:paraId="3FD48941" w14:textId="37E51A9C" w:rsidR="00396173" w:rsidRDefault="00396173" w:rsidP="00396173">
      <w:pPr>
        <w:pStyle w:val="Bodytextarrow"/>
        <w:numPr>
          <w:ilvl w:val="1"/>
          <w:numId w:val="3"/>
        </w:numPr>
      </w:pPr>
      <w:r>
        <w:t>Indicators</w:t>
      </w:r>
    </w:p>
    <w:p w14:paraId="6B3AA8D6" w14:textId="0D289F1B" w:rsidR="00396173" w:rsidRDefault="00396173" w:rsidP="00396173">
      <w:pPr>
        <w:pStyle w:val="Bodytextarrow"/>
        <w:numPr>
          <w:ilvl w:val="2"/>
          <w:numId w:val="3"/>
        </w:numPr>
      </w:pPr>
      <w:r>
        <w:t>This sheet provides a range of different important statistics relevant for reporting. Please review it carefully to</w:t>
      </w:r>
      <w:r w:rsidR="00CC2000">
        <w:t xml:space="preserve"> ensure that it matches your expectations.</w:t>
      </w:r>
    </w:p>
    <w:p w14:paraId="6A6C9683" w14:textId="47BA94F1" w:rsidR="003451C7" w:rsidRDefault="003451C7" w:rsidP="003451C7">
      <w:pPr>
        <w:pStyle w:val="Bodytextarrow"/>
        <w:numPr>
          <w:ilvl w:val="1"/>
          <w:numId w:val="3"/>
        </w:numPr>
      </w:pPr>
      <w:r>
        <w:t>Descriptive statistics</w:t>
      </w:r>
    </w:p>
    <w:p w14:paraId="5BF0AA01" w14:textId="7C59E8C1" w:rsidR="003451C7" w:rsidRDefault="003451C7" w:rsidP="003451C7">
      <w:pPr>
        <w:pStyle w:val="Bodytextarrow"/>
        <w:numPr>
          <w:ilvl w:val="2"/>
          <w:numId w:val="3"/>
        </w:numPr>
      </w:pPr>
      <w:r>
        <w:t>This sheet provides a range of descriptive statistics breaking down the data in your data file.</w:t>
      </w:r>
      <w:r w:rsidR="006E4653">
        <w:t xml:space="preserve"> Please also review this carefully to spot issues you may have missed with your data.</w:t>
      </w:r>
    </w:p>
    <w:p w14:paraId="40D27899" w14:textId="42D9D135" w:rsidR="003451C7" w:rsidRDefault="006E4653" w:rsidP="003451C7">
      <w:pPr>
        <w:pStyle w:val="Bodytextarrow"/>
        <w:numPr>
          <w:ilvl w:val="1"/>
          <w:numId w:val="3"/>
        </w:numPr>
      </w:pPr>
      <w:r>
        <w:t>Cumulative distribution</w:t>
      </w:r>
    </w:p>
    <w:p w14:paraId="393BA822" w14:textId="33A547B2" w:rsidR="006E4653" w:rsidRDefault="006E4653" w:rsidP="006E4653">
      <w:pPr>
        <w:pStyle w:val="Bodytextarrow"/>
        <w:numPr>
          <w:ilvl w:val="2"/>
          <w:numId w:val="3"/>
        </w:numPr>
      </w:pPr>
      <w:r>
        <w:t>This sheet provides a cumulative MIC distribution and associated graphs for each antibiotic.</w:t>
      </w:r>
    </w:p>
    <w:p w14:paraId="66BC3D58" w14:textId="3E63922E" w:rsidR="006E4653" w:rsidRDefault="006E4653" w:rsidP="006E4653">
      <w:pPr>
        <w:pStyle w:val="Bodytextarrow"/>
        <w:numPr>
          <w:ilvl w:val="1"/>
          <w:numId w:val="3"/>
        </w:numPr>
      </w:pPr>
      <w:r>
        <w:t>Aggregated distribution</w:t>
      </w:r>
    </w:p>
    <w:p w14:paraId="1301ED5C" w14:textId="5CFACF2C" w:rsidR="00C62950" w:rsidRPr="006E4653" w:rsidRDefault="006E4653" w:rsidP="00F40BBD">
      <w:pPr>
        <w:pStyle w:val="Bodytextarrow"/>
        <w:numPr>
          <w:ilvl w:val="2"/>
          <w:numId w:val="3"/>
        </w:numPr>
        <w:jc w:val="both"/>
      </w:pPr>
      <w:r>
        <w:t>This sheet provides the same information as the cumulative view, but it is additionally stratified by year.</w:t>
      </w:r>
    </w:p>
    <w:p w14:paraId="396D4E18" w14:textId="77777777" w:rsidR="00B828E3" w:rsidRPr="0081264A" w:rsidRDefault="000F371F" w:rsidP="006B0FE9">
      <w:pPr>
        <w:pStyle w:val="BodyText"/>
        <w:rPr>
          <w:lang w:val="en-GB"/>
        </w:rPr>
      </w:pPr>
      <w:r>
        <w:rPr>
          <w:lang w:val="en-GB"/>
        </w:rPr>
        <w:t xml:space="preserve">If any errors or unexpected findings are noted during the validation process, the user should review the original data files, </w:t>
      </w:r>
      <w:r w:rsidRPr="006B0FE9">
        <w:t>edit</w:t>
      </w:r>
      <w:r>
        <w:rPr>
          <w:lang w:val="en-GB"/>
        </w:rPr>
        <w:t xml:space="preserve"> if warranted, and then re-export the data.</w:t>
      </w:r>
    </w:p>
    <w:p w14:paraId="3159CEDA" w14:textId="59894D0E" w:rsidR="00C21EE1" w:rsidRPr="007F5E78" w:rsidRDefault="00EF578F" w:rsidP="00D55252">
      <w:pPr>
        <w:pStyle w:val="Heading1"/>
        <w:rPr>
          <w:lang w:val="en-US"/>
        </w:rPr>
      </w:pPr>
      <w:bookmarkStart w:id="35" w:name="_Toc466271238"/>
      <w:bookmarkStart w:id="36" w:name="_Toc170728125"/>
      <w:r>
        <w:rPr>
          <w:lang w:val="en-US"/>
        </w:rPr>
        <w:t xml:space="preserve">Upload the </w:t>
      </w:r>
      <w:r w:rsidR="00CE43CE">
        <w:rPr>
          <w:lang w:val="en-US"/>
        </w:rPr>
        <w:t>EGASP</w:t>
      </w:r>
      <w:r w:rsidR="006361D5">
        <w:rPr>
          <w:lang w:val="en-US"/>
        </w:rPr>
        <w:t xml:space="preserve">-formatted </w:t>
      </w:r>
      <w:r>
        <w:rPr>
          <w:lang w:val="en-US"/>
        </w:rPr>
        <w:t>data file to</w:t>
      </w:r>
      <w:r w:rsidR="006361D5">
        <w:rPr>
          <w:lang w:val="en-US"/>
        </w:rPr>
        <w:t xml:space="preserve"> the </w:t>
      </w:r>
      <w:r w:rsidR="00CE43CE">
        <w:rPr>
          <w:lang w:val="en-US"/>
        </w:rPr>
        <w:t>EGASP</w:t>
      </w:r>
      <w:r w:rsidR="006361D5">
        <w:rPr>
          <w:lang w:val="en-US"/>
        </w:rPr>
        <w:t xml:space="preserve"> </w:t>
      </w:r>
      <w:r w:rsidR="005C0C02">
        <w:rPr>
          <w:lang w:val="en-US"/>
        </w:rPr>
        <w:t>IT platform</w:t>
      </w:r>
      <w:bookmarkEnd w:id="35"/>
      <w:bookmarkEnd w:id="36"/>
    </w:p>
    <w:p w14:paraId="5D615CC2" w14:textId="4F48B56D" w:rsidR="00C21EE1" w:rsidRPr="006B0FE9" w:rsidRDefault="005D1A55" w:rsidP="006B0FE9">
      <w:pPr>
        <w:pStyle w:val="BodyText"/>
      </w:pPr>
      <w:r>
        <w:rPr>
          <w:lang w:val="en-GB"/>
        </w:rPr>
        <w:t xml:space="preserve">When data </w:t>
      </w:r>
      <w:r w:rsidR="00383786">
        <w:rPr>
          <w:lang w:val="en-GB"/>
        </w:rPr>
        <w:t xml:space="preserve">is exported </w:t>
      </w:r>
      <w:r>
        <w:rPr>
          <w:lang w:val="en-GB"/>
        </w:rPr>
        <w:t xml:space="preserve">using the steps described above, WHONET will </w:t>
      </w:r>
      <w:r w:rsidR="00780B3C">
        <w:rPr>
          <w:lang w:val="en-GB"/>
        </w:rPr>
        <w:t>update an empty template with your data</w:t>
      </w:r>
      <w:r w:rsidR="00CE43CE">
        <w:rPr>
          <w:lang w:val="en-GB"/>
        </w:rPr>
        <w:t xml:space="preserve"> to be exported to the online platform</w:t>
      </w:r>
      <w:r w:rsidR="007F57F2">
        <w:rPr>
          <w:lang w:val="en-GB"/>
        </w:rPr>
        <w:t xml:space="preserve">. </w:t>
      </w:r>
      <w:r w:rsidR="00CE43CE">
        <w:rPr>
          <w:lang w:val="en-GB"/>
        </w:rPr>
        <w:t>EGASP</w:t>
      </w:r>
      <w:r>
        <w:rPr>
          <w:lang w:val="en-GB"/>
        </w:rPr>
        <w:t xml:space="preserve"> </w:t>
      </w:r>
      <w:r w:rsidR="00F109D9">
        <w:rPr>
          <w:lang w:val="en-GB"/>
        </w:rPr>
        <w:t>i</w:t>
      </w:r>
      <w:r w:rsidR="00EF578F">
        <w:rPr>
          <w:lang w:val="en-GB"/>
        </w:rPr>
        <w:t>nstructions</w:t>
      </w:r>
      <w:r w:rsidR="00A55BED">
        <w:rPr>
          <w:lang w:val="en-GB"/>
        </w:rPr>
        <w:t xml:space="preserve"> </w:t>
      </w:r>
      <w:r w:rsidR="00EF578F">
        <w:rPr>
          <w:lang w:val="en-GB"/>
        </w:rPr>
        <w:t xml:space="preserve">for uploading </w:t>
      </w:r>
      <w:r>
        <w:rPr>
          <w:lang w:val="en-GB"/>
        </w:rPr>
        <w:t xml:space="preserve">the file to the </w:t>
      </w:r>
      <w:r w:rsidR="00CE43CE">
        <w:rPr>
          <w:lang w:val="en-GB"/>
        </w:rPr>
        <w:t>EGASP</w:t>
      </w:r>
      <w:r>
        <w:rPr>
          <w:lang w:val="en-GB"/>
        </w:rPr>
        <w:t xml:space="preserve"> </w:t>
      </w:r>
      <w:r w:rsidR="005C0C02">
        <w:rPr>
          <w:lang w:val="en-GB"/>
        </w:rPr>
        <w:t xml:space="preserve">IT </w:t>
      </w:r>
      <w:r w:rsidR="005C0C02" w:rsidRPr="006B0FE9">
        <w:t>platform</w:t>
      </w:r>
      <w:r w:rsidRPr="006B0FE9">
        <w:t xml:space="preserve"> </w:t>
      </w:r>
      <w:r w:rsidR="00EF578F" w:rsidRPr="006B0FE9">
        <w:t xml:space="preserve">are </w:t>
      </w:r>
      <w:r w:rsidR="001B07D7" w:rsidRPr="006B0FE9">
        <w:t>available</w:t>
      </w:r>
      <w:r w:rsidR="00A55BED">
        <w:t>.</w:t>
      </w:r>
    </w:p>
    <w:p w14:paraId="7B3056F7" w14:textId="77777777" w:rsidR="006A6E01" w:rsidRDefault="006A6E01">
      <w:pPr>
        <w:rPr>
          <w:rFonts w:ascii="Calibri" w:hAnsi="Calibri" w:cs="Arial"/>
          <w:b/>
          <w:bCs/>
          <w:kern w:val="28"/>
          <w:sz w:val="36"/>
          <w:szCs w:val="28"/>
          <w:lang w:val="en-US"/>
        </w:rPr>
      </w:pPr>
      <w:bookmarkStart w:id="37" w:name="_Toc466271239"/>
      <w:r>
        <w:rPr>
          <w:lang w:val="en-US"/>
        </w:rPr>
        <w:br w:type="page"/>
      </w:r>
    </w:p>
    <w:p w14:paraId="08852F6E" w14:textId="77777777" w:rsidR="00626AEB" w:rsidRPr="0081264A" w:rsidRDefault="00024471" w:rsidP="00D55252">
      <w:pPr>
        <w:pStyle w:val="Heading1"/>
        <w:numPr>
          <w:ilvl w:val="0"/>
          <w:numId w:val="0"/>
        </w:numPr>
        <w:rPr>
          <w:rStyle w:val="CommentHeader"/>
          <w:i w:val="0"/>
          <w:iCs w:val="0"/>
          <w:smallCaps w:val="0"/>
          <w:u w:val="none"/>
          <w:lang w:val="en-US"/>
        </w:rPr>
      </w:pPr>
      <w:bookmarkStart w:id="38" w:name="_Toc170728126"/>
      <w:r>
        <w:rPr>
          <w:lang w:val="en-US"/>
        </w:rPr>
        <w:lastRenderedPageBreak/>
        <w:t>Annex 1 – Modify laboratory configuration</w:t>
      </w:r>
      <w:bookmarkEnd w:id="37"/>
      <w:bookmarkEnd w:id="38"/>
    </w:p>
    <w:p w14:paraId="78793F70" w14:textId="77777777" w:rsidR="00A2330A" w:rsidRDefault="00A2330A" w:rsidP="006B0FE9">
      <w:pPr>
        <w:pStyle w:val="BodyText"/>
        <w:rPr>
          <w:lang w:val="en-GB"/>
        </w:rPr>
      </w:pPr>
      <w:r>
        <w:rPr>
          <w:lang w:val="en-GB"/>
        </w:rPr>
        <w:t xml:space="preserve">This annex provides further </w:t>
      </w:r>
      <w:r w:rsidR="008E63E0">
        <w:rPr>
          <w:lang w:val="en-GB"/>
        </w:rPr>
        <w:t>explanations</w:t>
      </w:r>
      <w:r>
        <w:rPr>
          <w:lang w:val="en-GB"/>
        </w:rPr>
        <w:t xml:space="preserve"> on the WHONET module for modifying the laboratory configuration for antibiotics, locations and data fields. </w:t>
      </w:r>
      <w:r w:rsidR="008E63E0">
        <w:rPr>
          <w:lang w:val="en-GB"/>
        </w:rPr>
        <w:t>For more detailed information</w:t>
      </w:r>
      <w:r>
        <w:rPr>
          <w:lang w:val="en-GB"/>
        </w:rPr>
        <w:t>, please consult the relevant WHONET tutorials</w:t>
      </w:r>
      <w:r w:rsidR="007909A0">
        <w:rPr>
          <w:lang w:val="en-GB"/>
        </w:rPr>
        <w:t xml:space="preserve">, available from </w:t>
      </w:r>
      <w:r w:rsidR="007909A0" w:rsidRPr="007909A0">
        <w:rPr>
          <w:lang w:val="en-GB"/>
        </w:rPr>
        <w:t>http://whonet.org/documentation.html</w:t>
      </w:r>
      <w:r w:rsidR="00383786">
        <w:rPr>
          <w:lang w:val="en-GB"/>
        </w:rPr>
        <w:t>.</w:t>
      </w:r>
    </w:p>
    <w:p w14:paraId="5E839988" w14:textId="77777777" w:rsidR="00626AEB" w:rsidRPr="0081264A" w:rsidRDefault="00626AEB" w:rsidP="00E40FCC">
      <w:pPr>
        <w:pStyle w:val="Heading2"/>
        <w:numPr>
          <w:ilvl w:val="0"/>
          <w:numId w:val="9"/>
        </w:numPr>
        <w:ind w:left="709" w:hanging="709"/>
        <w:rPr>
          <w:smallCaps/>
        </w:rPr>
      </w:pPr>
      <w:bookmarkStart w:id="39" w:name="_Toc466271240"/>
      <w:bookmarkStart w:id="40" w:name="_Toc170728127"/>
      <w:r>
        <w:rPr>
          <w:rStyle w:val="CommentHeader"/>
          <w:i w:val="0"/>
          <w:smallCaps w:val="0"/>
          <w:u w:val="none"/>
        </w:rPr>
        <w:t>General laboratory information</w:t>
      </w:r>
      <w:bookmarkEnd w:id="39"/>
      <w:bookmarkEnd w:id="40"/>
    </w:p>
    <w:p w14:paraId="79A5DB55" w14:textId="77777777" w:rsidR="00736F1C" w:rsidRDefault="00736F1C" w:rsidP="00626AEB">
      <w:pPr>
        <w:pStyle w:val="Comments"/>
        <w:ind w:left="1134" w:hanging="567"/>
        <w:rPr>
          <w:rStyle w:val="CommentHeader"/>
          <w:sz w:val="20"/>
          <w:szCs w:val="20"/>
        </w:rPr>
      </w:pPr>
    </w:p>
    <w:p w14:paraId="6ADC3F6B" w14:textId="77777777" w:rsidR="00626AEB" w:rsidRPr="00814E53" w:rsidRDefault="00626AEB" w:rsidP="006B0FE9">
      <w:pPr>
        <w:pStyle w:val="BodyText"/>
      </w:pPr>
      <w:r w:rsidRPr="00814E53">
        <w:rPr>
          <w:rStyle w:val="CommentHeader"/>
        </w:rPr>
        <w:t>Step</w:t>
      </w:r>
      <w:r w:rsidR="007909A0" w:rsidRPr="00814E53">
        <w:rPr>
          <w:rStyle w:val="CommentHeader"/>
        </w:rPr>
        <w:t xml:space="preserve"> </w:t>
      </w:r>
      <w:r w:rsidRPr="00814E53">
        <w:rPr>
          <w:rStyle w:val="CommentHeader"/>
        </w:rPr>
        <w:t>1</w:t>
      </w:r>
      <w:r w:rsidR="00F65DA8" w:rsidRPr="00814E53">
        <w:rPr>
          <w:rStyle w:val="CommentHeader"/>
        </w:rPr>
        <w:t>:</w:t>
      </w:r>
      <w:r w:rsidRPr="00814E53">
        <w:t xml:space="preserve"> </w:t>
      </w:r>
      <w:r w:rsidR="007909A0" w:rsidRPr="00814E53">
        <w:tab/>
      </w:r>
      <w:r w:rsidRPr="00814E53">
        <w:t xml:space="preserve">Collect information on antibiotics, test methods and breakpoints specific </w:t>
      </w:r>
      <w:r w:rsidR="00F65DA8" w:rsidRPr="00814E53">
        <w:t>to</w:t>
      </w:r>
      <w:r w:rsidRPr="00814E53">
        <w:t xml:space="preserve"> the </w:t>
      </w:r>
      <w:r w:rsidR="007909A0" w:rsidRPr="00814E53">
        <w:tab/>
      </w:r>
      <w:r w:rsidR="007909A0" w:rsidRPr="00814E53">
        <w:tab/>
      </w:r>
      <w:r w:rsidR="007909A0" w:rsidRPr="00814E53">
        <w:tab/>
      </w:r>
      <w:r w:rsidRPr="00814E53">
        <w:t xml:space="preserve">participating laboratory. </w:t>
      </w:r>
    </w:p>
    <w:p w14:paraId="1E79C94F" w14:textId="77777777" w:rsidR="00626AEB" w:rsidRPr="00651469" w:rsidRDefault="00626AEB" w:rsidP="006B0FE9">
      <w:pPr>
        <w:pStyle w:val="BodyText"/>
      </w:pPr>
      <w:r w:rsidRPr="00814E53">
        <w:rPr>
          <w:rStyle w:val="CommentHeader"/>
        </w:rPr>
        <w:t>Step 2</w:t>
      </w:r>
      <w:r w:rsidR="00F65DA8" w:rsidRPr="00814E53">
        <w:rPr>
          <w:rStyle w:val="CommentHeader"/>
        </w:rPr>
        <w:t>:</w:t>
      </w:r>
      <w:r w:rsidRPr="00814E53">
        <w:t xml:space="preserve"> </w:t>
      </w:r>
      <w:r w:rsidR="007909A0" w:rsidRPr="00814E53">
        <w:tab/>
      </w:r>
      <w:r w:rsidRPr="00814E53">
        <w:t>Start WHONET by double</w:t>
      </w:r>
      <w:r w:rsidR="00383786" w:rsidRPr="00814E53">
        <w:t>-</w:t>
      </w:r>
      <w:r w:rsidRPr="00814E53">
        <w:t>click</w:t>
      </w:r>
      <w:r w:rsidR="00736F1C" w:rsidRPr="00814E53">
        <w:t>ing on the WHONET icon. When the user</w:t>
      </w:r>
      <w:r w:rsidRPr="00814E53">
        <w:t xml:space="preserve"> enter</w:t>
      </w:r>
      <w:r w:rsidR="00736F1C" w:rsidRPr="00814E53">
        <w:t>s</w:t>
      </w:r>
      <w:r w:rsidRPr="00814E53">
        <w:t xml:space="preserve"> </w:t>
      </w:r>
      <w:r w:rsidR="00651469" w:rsidRPr="00814E53">
        <w:t>“</w:t>
      </w:r>
      <w:r w:rsidRPr="00814E53">
        <w:t>New</w:t>
      </w:r>
      <w:r w:rsidRPr="0022560B">
        <w:t xml:space="preserve"> </w:t>
      </w:r>
      <w:r w:rsidR="007909A0">
        <w:tab/>
      </w:r>
      <w:r w:rsidR="00651469" w:rsidRPr="0022560B">
        <w:t>Laboratory”</w:t>
      </w:r>
      <w:r w:rsidR="0022560B">
        <w:t>,</w:t>
      </w:r>
      <w:r w:rsidR="00651469">
        <w:t xml:space="preserve"> the “Laboratory c</w:t>
      </w:r>
      <w:r w:rsidRPr="00651469">
        <w:t>onfiguration</w:t>
      </w:r>
      <w:r w:rsidR="00651469">
        <w:t>”</w:t>
      </w:r>
      <w:r w:rsidRPr="00651469">
        <w:t xml:space="preserve"> screen appears.</w:t>
      </w:r>
      <w:r w:rsidR="00B303CE" w:rsidRPr="00651469">
        <w:t xml:space="preserve"> </w:t>
      </w:r>
    </w:p>
    <w:p w14:paraId="412CA2A8" w14:textId="77777777" w:rsidR="00736F1C" w:rsidRDefault="00736F1C" w:rsidP="00383786">
      <w:pPr>
        <w:pStyle w:val="Comments"/>
        <w:rPr>
          <w:sz w:val="20"/>
          <w:szCs w:val="20"/>
        </w:rPr>
      </w:pPr>
    </w:p>
    <w:p w14:paraId="6868E165" w14:textId="681831C8" w:rsidR="00B303CE" w:rsidRPr="00651469" w:rsidRDefault="00B303CE" w:rsidP="006B0FE9">
      <w:pPr>
        <w:pStyle w:val="BodyText"/>
      </w:pPr>
      <w:r w:rsidRPr="00651469">
        <w:t xml:space="preserve">This screen </w:t>
      </w:r>
      <w:r w:rsidR="00F0532A" w:rsidRPr="00651469">
        <w:t>will</w:t>
      </w:r>
      <w:r w:rsidRPr="00651469">
        <w:t xml:space="preserve"> also </w:t>
      </w:r>
      <w:r w:rsidR="00F0532A" w:rsidRPr="00651469">
        <w:t>appear</w:t>
      </w:r>
      <w:r w:rsidRPr="00651469">
        <w:t xml:space="preserve"> after </w:t>
      </w:r>
      <w:r w:rsidR="00383786">
        <w:t>the user has</w:t>
      </w:r>
      <w:r w:rsidRPr="00651469">
        <w:t xml:space="preserve"> created a new </w:t>
      </w:r>
      <w:r w:rsidR="00616605">
        <w:t>EGASP</w:t>
      </w:r>
      <w:r w:rsidRPr="00651469">
        <w:t xml:space="preserve"> laboratory following the steps in section 3.1. At the end of this process </w:t>
      </w:r>
      <w:r w:rsidR="00383786">
        <w:t xml:space="preserve">the user </w:t>
      </w:r>
      <w:r w:rsidR="001B03A5">
        <w:t xml:space="preserve">will be </w:t>
      </w:r>
      <w:r w:rsidR="00383786">
        <w:t>asked</w:t>
      </w:r>
      <w:r w:rsidR="001B03A5">
        <w:t xml:space="preserve"> whether any additional modifications are required</w:t>
      </w:r>
      <w:r w:rsidR="00F65DA8">
        <w:t>:</w:t>
      </w:r>
      <w:r w:rsidR="00F0532A" w:rsidRPr="00651469">
        <w:t xml:space="preserve"> select “Yes”.</w:t>
      </w:r>
    </w:p>
    <w:p w14:paraId="1A9BBBC8" w14:textId="77777777" w:rsidR="00626AEB" w:rsidRDefault="00626AEB" w:rsidP="00626AEB">
      <w:pPr>
        <w:pStyle w:val="Comments"/>
        <w:ind w:left="0"/>
        <w:rPr>
          <w:rStyle w:val="CommentHeader"/>
        </w:rPr>
      </w:pPr>
    </w:p>
    <w:p w14:paraId="637FA432" w14:textId="2F0244AC" w:rsidR="00626AEB" w:rsidRPr="002E0300" w:rsidRDefault="00323E3F" w:rsidP="00626AEB">
      <w:pPr>
        <w:pStyle w:val="Comments"/>
        <w:ind w:left="1134" w:hanging="567"/>
        <w:rPr>
          <w:rStyle w:val="CommentHeader"/>
        </w:rPr>
      </w:pPr>
      <w:r>
        <w:rPr>
          <w:noProof/>
        </w:rPr>
        <w:drawing>
          <wp:inline distT="0" distB="0" distL="0" distR="0" wp14:anchorId="05114411" wp14:editId="5C794012">
            <wp:extent cx="5732145" cy="3108325"/>
            <wp:effectExtent l="0" t="0" r="1905" b="0"/>
            <wp:docPr id="127271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1089" name=""/>
                    <pic:cNvPicPr/>
                  </pic:nvPicPr>
                  <pic:blipFill>
                    <a:blip r:embed="rId34"/>
                    <a:stretch>
                      <a:fillRect/>
                    </a:stretch>
                  </pic:blipFill>
                  <pic:spPr>
                    <a:xfrm>
                      <a:off x="0" y="0"/>
                      <a:ext cx="5732145" cy="3108325"/>
                    </a:xfrm>
                    <a:prstGeom prst="rect">
                      <a:avLst/>
                    </a:prstGeom>
                  </pic:spPr>
                </pic:pic>
              </a:graphicData>
            </a:graphic>
          </wp:inline>
        </w:drawing>
      </w:r>
    </w:p>
    <w:p w14:paraId="32CB0960" w14:textId="77777777" w:rsidR="00626AEB" w:rsidRDefault="00626AEB" w:rsidP="00626AEB">
      <w:pPr>
        <w:pStyle w:val="Comments"/>
        <w:ind w:left="0"/>
      </w:pPr>
      <w:bookmarkStart w:id="41" w:name="_Toc446237505"/>
    </w:p>
    <w:p w14:paraId="32338157" w14:textId="77777777" w:rsidR="00626AEB" w:rsidRPr="00651469" w:rsidRDefault="00626AEB" w:rsidP="006B0FE9">
      <w:pPr>
        <w:pStyle w:val="BodyText"/>
      </w:pPr>
      <w:r w:rsidRPr="00814E53">
        <w:rPr>
          <w:rStyle w:val="CommentHeader"/>
        </w:rPr>
        <w:t>Step 3</w:t>
      </w:r>
      <w:r w:rsidR="00F65DA8" w:rsidRPr="00814E53">
        <w:rPr>
          <w:rStyle w:val="CommentHeader"/>
        </w:rPr>
        <w:t>:</w:t>
      </w:r>
      <w:r w:rsidRPr="00814E53">
        <w:rPr>
          <w:rStyle w:val="CommentHeader"/>
          <w:u w:val="none"/>
        </w:rPr>
        <w:t xml:space="preserve"> </w:t>
      </w:r>
      <w:r w:rsidR="007909A0" w:rsidRPr="00814E53">
        <w:rPr>
          <w:rStyle w:val="CommentHeader"/>
          <w:u w:val="none"/>
        </w:rPr>
        <w:tab/>
      </w:r>
      <w:r w:rsidRPr="00814E53">
        <w:rPr>
          <w:rStyle w:val="CommentHeader"/>
          <w:i w:val="0"/>
          <w:u w:val="none"/>
        </w:rPr>
        <w:t>D</w:t>
      </w:r>
      <w:r w:rsidRPr="00814E53">
        <w:t xml:space="preserve">escribe </w:t>
      </w:r>
      <w:r w:rsidRPr="00814E53">
        <w:rPr>
          <w:i/>
        </w:rPr>
        <w:t>Laboratory (</w:t>
      </w:r>
      <w:r w:rsidRPr="00814E53">
        <w:rPr>
          <w:rStyle w:val="CommentHeader"/>
          <w:smallCaps w:val="0"/>
        </w:rPr>
        <w:t>Required)</w:t>
      </w:r>
      <w:r w:rsidR="00383786" w:rsidRPr="00814E53">
        <w:t xml:space="preserve">: </w:t>
      </w:r>
      <w:r w:rsidRPr="00814E53">
        <w:t>Choose the country and enter the name of the laboratory.</w:t>
      </w:r>
      <w:r w:rsidRPr="00651469">
        <w:t xml:space="preserve">  Enter a three-letter </w:t>
      </w:r>
      <w:r w:rsidR="00F65DA8">
        <w:t>l</w:t>
      </w:r>
      <w:r w:rsidRPr="00651469">
        <w:t xml:space="preserve">aboratory code.  </w:t>
      </w:r>
    </w:p>
    <w:p w14:paraId="7CF5BBCC" w14:textId="77777777" w:rsidR="00626AEB" w:rsidRPr="00651469" w:rsidRDefault="00626AEB" w:rsidP="006B0FE9">
      <w:pPr>
        <w:pStyle w:val="BodyText"/>
        <w:ind w:left="720" w:hanging="720"/>
      </w:pPr>
      <w:r w:rsidRPr="00651469">
        <w:t xml:space="preserve">Note: </w:t>
      </w:r>
      <w:r w:rsidR="0022560B">
        <w:tab/>
        <w:t>A</w:t>
      </w:r>
      <w:r w:rsidRPr="00651469">
        <w:t>fter entering this information WHONET will automatically create a corresponding laboratory configuration file name with the name labccc.xxx, where ccc = 3-letter ISO country code and xxx = 3 characters of laboratory code</w:t>
      </w:r>
      <w:r w:rsidR="00383786">
        <w:t>.</w:t>
      </w:r>
    </w:p>
    <w:p w14:paraId="7A326F1A" w14:textId="77777777" w:rsidR="00626AEB" w:rsidRPr="00651469" w:rsidRDefault="00626AEB" w:rsidP="00F40BBD">
      <w:pPr>
        <w:pStyle w:val="BodyText"/>
        <w:ind w:left="720" w:hanging="720"/>
      </w:pPr>
      <w:r w:rsidRPr="00814E53">
        <w:rPr>
          <w:rStyle w:val="CommentHeader"/>
        </w:rPr>
        <w:t>Step 4</w:t>
      </w:r>
      <w:r w:rsidR="00F65DA8" w:rsidRPr="00814E53">
        <w:rPr>
          <w:rStyle w:val="CommentHeader"/>
        </w:rPr>
        <w:t>:</w:t>
      </w:r>
      <w:r w:rsidR="00F65DA8" w:rsidRPr="00814E53">
        <w:rPr>
          <w:rStyle w:val="CommentHeader"/>
          <w:u w:val="none"/>
        </w:rPr>
        <w:t xml:space="preserve"> </w:t>
      </w:r>
      <w:r w:rsidR="007909A0" w:rsidRPr="00814E53">
        <w:rPr>
          <w:rStyle w:val="CommentHeader"/>
          <w:u w:val="none"/>
        </w:rPr>
        <w:tab/>
      </w:r>
      <w:r w:rsidRPr="00814E53">
        <w:rPr>
          <w:i/>
        </w:rPr>
        <w:t>Antibiotic Configuration</w:t>
      </w:r>
      <w:r w:rsidRPr="00814E53">
        <w:rPr>
          <w:rStyle w:val="CommentHeader"/>
          <w:smallCaps w:val="0"/>
        </w:rPr>
        <w:t xml:space="preserve"> (Required</w:t>
      </w:r>
      <w:r w:rsidRPr="00814E53">
        <w:rPr>
          <w:rStyle w:val="CommentHeader"/>
        </w:rPr>
        <w:t>)</w:t>
      </w:r>
      <w:r w:rsidRPr="00814E53">
        <w:rPr>
          <w:rStyle w:val="CommentHeader"/>
          <w:i w:val="0"/>
        </w:rPr>
        <w:t>:</w:t>
      </w:r>
      <w:r w:rsidR="0022560B" w:rsidRPr="00814E53">
        <w:t xml:space="preserve">  Click on “</w:t>
      </w:r>
      <w:r w:rsidRPr="00814E53">
        <w:t>Antibiotics</w:t>
      </w:r>
      <w:r w:rsidR="0022560B" w:rsidRPr="00814E53">
        <w:t>”</w:t>
      </w:r>
      <w:r w:rsidRPr="00814E53">
        <w:t xml:space="preserve"> to configure the antibiotics.</w:t>
      </w:r>
      <w:r w:rsidRPr="00651469">
        <w:t xml:space="preserve">  Enter the list of antibiotics that are being used by the laboratory</w:t>
      </w:r>
      <w:r w:rsidR="00383786">
        <w:t>. C</w:t>
      </w:r>
      <w:r w:rsidR="0022560B">
        <w:t>lick “</w:t>
      </w:r>
      <w:r w:rsidRPr="00651469">
        <w:t>OK</w:t>
      </w:r>
      <w:r w:rsidR="0022560B">
        <w:t>”</w:t>
      </w:r>
      <w:r w:rsidR="00383786">
        <w:t xml:space="preserve"> </w:t>
      </w:r>
      <w:r w:rsidR="00F40BBD">
        <w:t>w</w:t>
      </w:r>
      <w:r w:rsidRPr="00651469">
        <w:t xml:space="preserve">hen finished to return to the main </w:t>
      </w:r>
      <w:r w:rsidR="0022560B">
        <w:t>“</w:t>
      </w:r>
      <w:r w:rsidR="0022560B" w:rsidRPr="006B0FE9">
        <w:t>Laboratory</w:t>
      </w:r>
      <w:r w:rsidR="0022560B">
        <w:t xml:space="preserve"> c</w:t>
      </w:r>
      <w:r w:rsidRPr="00651469">
        <w:t>onfiguration</w:t>
      </w:r>
      <w:r w:rsidR="0022560B">
        <w:t>”</w:t>
      </w:r>
      <w:r w:rsidRPr="00651469">
        <w:t xml:space="preserve"> screen.  For details see </w:t>
      </w:r>
      <w:r w:rsidR="00736F1C">
        <w:t xml:space="preserve">section 2 below: </w:t>
      </w:r>
      <w:r w:rsidR="0022560B">
        <w:t>“</w:t>
      </w:r>
      <w:r w:rsidRPr="00651469">
        <w:t>Antibiotics</w:t>
      </w:r>
      <w:r w:rsidR="0022560B">
        <w:t>”</w:t>
      </w:r>
      <w:r w:rsidRPr="00651469">
        <w:t>.</w:t>
      </w:r>
      <w:bookmarkStart w:id="42" w:name="_Toc447713642"/>
      <w:bookmarkStart w:id="43" w:name="_Toc447720544"/>
      <w:bookmarkStart w:id="44" w:name="_Toc450356904"/>
    </w:p>
    <w:p w14:paraId="7BDD2B28" w14:textId="77777777" w:rsidR="00626AEB" w:rsidRPr="00E40FCC" w:rsidRDefault="00626AEB" w:rsidP="00E40FCC">
      <w:pPr>
        <w:pStyle w:val="Heading2"/>
        <w:numPr>
          <w:ilvl w:val="0"/>
          <w:numId w:val="9"/>
        </w:numPr>
        <w:ind w:left="709" w:hanging="709"/>
        <w:rPr>
          <w:rStyle w:val="CommentHeader"/>
          <w:iCs w:val="0"/>
          <w:u w:val="none"/>
        </w:rPr>
      </w:pPr>
      <w:bookmarkStart w:id="45" w:name="_Toc466271241"/>
      <w:bookmarkStart w:id="46" w:name="_Toc170728128"/>
      <w:r w:rsidRPr="00C62950">
        <w:rPr>
          <w:rStyle w:val="CommentHeader"/>
          <w:i w:val="0"/>
          <w:smallCaps w:val="0"/>
          <w:u w:val="none"/>
        </w:rPr>
        <w:lastRenderedPageBreak/>
        <w:t>Antibiotics</w:t>
      </w:r>
      <w:bookmarkEnd w:id="42"/>
      <w:bookmarkEnd w:id="43"/>
      <w:bookmarkEnd w:id="44"/>
      <w:bookmarkEnd w:id="45"/>
      <w:bookmarkEnd w:id="46"/>
    </w:p>
    <w:p w14:paraId="6ECDA154" w14:textId="77777777" w:rsidR="0022560B" w:rsidRDefault="00626AEB" w:rsidP="006B0FE9">
      <w:pPr>
        <w:pStyle w:val="BodyText"/>
        <w:rPr>
          <w:lang w:val="en-GB"/>
        </w:rPr>
      </w:pPr>
      <w:r w:rsidRPr="001132C1">
        <w:rPr>
          <w:lang w:val="en-GB"/>
        </w:rPr>
        <w:t xml:space="preserve">To indicate which antibiotics, methods and breakpoints are being used in the participating </w:t>
      </w:r>
      <w:r w:rsidR="006B0FE9">
        <w:rPr>
          <w:lang w:val="en-GB"/>
        </w:rPr>
        <w:t>l</w:t>
      </w:r>
      <w:r w:rsidRPr="001132C1">
        <w:rPr>
          <w:lang w:val="en-GB"/>
        </w:rPr>
        <w:t xml:space="preserve">aboratory </w:t>
      </w:r>
      <w:r w:rsidR="00383786">
        <w:rPr>
          <w:lang w:val="en-GB"/>
        </w:rPr>
        <w:t>the user must</w:t>
      </w:r>
      <w:r w:rsidR="0022560B">
        <w:rPr>
          <w:lang w:val="en-GB"/>
        </w:rPr>
        <w:t xml:space="preserve"> enter “Antibiotic c</w:t>
      </w:r>
      <w:r w:rsidRPr="001132C1">
        <w:rPr>
          <w:lang w:val="en-GB"/>
        </w:rPr>
        <w:t>onfiguration</w:t>
      </w:r>
      <w:r w:rsidR="0022560B">
        <w:rPr>
          <w:lang w:val="en-GB"/>
        </w:rPr>
        <w:t>”</w:t>
      </w:r>
      <w:r w:rsidRPr="001132C1">
        <w:rPr>
          <w:lang w:val="en-GB"/>
        </w:rPr>
        <w:t xml:space="preserve">. </w:t>
      </w:r>
    </w:p>
    <w:p w14:paraId="61B300D6" w14:textId="77777777" w:rsidR="00626AEB" w:rsidRPr="001132C1" w:rsidRDefault="00626AEB" w:rsidP="006B0FE9">
      <w:pPr>
        <w:pStyle w:val="BodyText"/>
        <w:rPr>
          <w:lang w:val="en-GB"/>
        </w:rPr>
      </w:pPr>
      <w:r w:rsidRPr="001132C1">
        <w:rPr>
          <w:lang w:val="en-GB"/>
        </w:rPr>
        <w:t xml:space="preserve">Note: </w:t>
      </w:r>
      <w:r w:rsidR="0022560B">
        <w:rPr>
          <w:lang w:val="en-GB"/>
        </w:rPr>
        <w:tab/>
        <w:t>D</w:t>
      </w:r>
      <w:r w:rsidRPr="001132C1">
        <w:rPr>
          <w:lang w:val="en-GB"/>
        </w:rPr>
        <w:t xml:space="preserve">uring data entry the software performs automatic interpretation based on the breakpoints </w:t>
      </w:r>
      <w:r w:rsidR="009F6D5A">
        <w:rPr>
          <w:lang w:val="en-GB"/>
        </w:rPr>
        <w:tab/>
      </w:r>
      <w:r w:rsidRPr="001132C1">
        <w:rPr>
          <w:lang w:val="en-GB"/>
        </w:rPr>
        <w:t xml:space="preserve">entered in this configuration. </w:t>
      </w:r>
    </w:p>
    <w:p w14:paraId="2B33EC2F" w14:textId="77777777" w:rsidR="00626AEB" w:rsidRPr="00E50E26" w:rsidRDefault="00626AEB" w:rsidP="00F40BBD">
      <w:pPr>
        <w:pStyle w:val="BodyText"/>
      </w:pPr>
      <w:r w:rsidRPr="00E50E26">
        <w:rPr>
          <w:rStyle w:val="CommentHeader"/>
        </w:rPr>
        <w:t>Instructions</w:t>
      </w:r>
    </w:p>
    <w:p w14:paraId="01F883C5" w14:textId="77777777" w:rsidR="00626AEB" w:rsidRPr="00651469" w:rsidRDefault="00626AEB" w:rsidP="00F40BBD">
      <w:pPr>
        <w:pStyle w:val="BodyText"/>
      </w:pPr>
      <w:r w:rsidRPr="00E50E26">
        <w:rPr>
          <w:rStyle w:val="CommentHeader"/>
        </w:rPr>
        <w:t>Step 1</w:t>
      </w:r>
      <w:r w:rsidR="00BE12BF" w:rsidRPr="00E50E26">
        <w:rPr>
          <w:rStyle w:val="CommentHeader"/>
        </w:rPr>
        <w:t>:</w:t>
      </w:r>
      <w:r w:rsidR="00BE12BF">
        <w:rPr>
          <w:rStyle w:val="CommentHeader"/>
          <w:sz w:val="20"/>
          <w:szCs w:val="20"/>
        </w:rPr>
        <w:t xml:space="preserve"> </w:t>
      </w:r>
      <w:r w:rsidRPr="00651469">
        <w:t xml:space="preserve"> </w:t>
      </w:r>
      <w:r w:rsidR="007909A0">
        <w:tab/>
      </w:r>
      <w:r w:rsidRPr="00651469">
        <w:t xml:space="preserve">From the main Laboratory </w:t>
      </w:r>
      <w:r w:rsidR="00651469">
        <w:t>Configuration screen, click on “Antibiotics”</w:t>
      </w:r>
      <w:r w:rsidR="004A7F27">
        <w:t>: t</w:t>
      </w:r>
      <w:r w:rsidRPr="00651469">
        <w:t>he screen</w:t>
      </w:r>
      <w:r w:rsidR="00F65DA8">
        <w:t xml:space="preserve"> </w:t>
      </w:r>
      <w:r w:rsidR="007909A0">
        <w:tab/>
      </w:r>
      <w:r w:rsidR="007909A0">
        <w:tab/>
      </w:r>
      <w:r w:rsidR="00F65DA8">
        <w:t>below</w:t>
      </w:r>
      <w:r w:rsidR="004A7F27">
        <w:t xml:space="preserve"> appears</w:t>
      </w:r>
      <w:r w:rsidR="0022560B">
        <w:t>.  The “WHONET antibiotic l</w:t>
      </w:r>
      <w:r w:rsidR="00651469">
        <w:t>ist”</w:t>
      </w:r>
      <w:r w:rsidRPr="00651469">
        <w:t xml:space="preserve"> appears </w:t>
      </w:r>
      <w:r w:rsidR="00F65DA8">
        <w:t>on</w:t>
      </w:r>
      <w:r w:rsidRPr="00651469">
        <w:t xml:space="preserve"> the left, while the antibiotics </w:t>
      </w:r>
      <w:r w:rsidR="007909A0">
        <w:tab/>
      </w:r>
      <w:r w:rsidR="007909A0">
        <w:tab/>
      </w:r>
      <w:r w:rsidRPr="00651469">
        <w:t>that</w:t>
      </w:r>
      <w:r w:rsidR="004A7F27">
        <w:t xml:space="preserve"> the user may want to</w:t>
      </w:r>
      <w:r w:rsidRPr="00651469">
        <w:t xml:space="preserve"> select will appear </w:t>
      </w:r>
      <w:r w:rsidR="00F65DA8">
        <w:t>on</w:t>
      </w:r>
      <w:r w:rsidR="00651469">
        <w:t xml:space="preserve"> the right under “</w:t>
      </w:r>
      <w:r w:rsidR="0022560B">
        <w:t>Local a</w:t>
      </w:r>
      <w:r w:rsidRPr="00651469">
        <w:t xml:space="preserve">ntibiotic </w:t>
      </w:r>
      <w:r w:rsidR="0022560B">
        <w:t>l</w:t>
      </w:r>
      <w:r w:rsidRPr="00651469">
        <w:t>ist</w:t>
      </w:r>
      <w:r w:rsidR="00651469">
        <w:t>”</w:t>
      </w:r>
      <w:r w:rsidRPr="00651469">
        <w:t xml:space="preserve">. </w:t>
      </w:r>
      <w:r w:rsidR="007909A0">
        <w:tab/>
      </w:r>
      <w:r w:rsidR="007909A0">
        <w:tab/>
      </w:r>
      <w:r w:rsidRPr="00651469">
        <w:t xml:space="preserve">The list on the right </w:t>
      </w:r>
      <w:r w:rsidR="004A7F27">
        <w:t xml:space="preserve">will </w:t>
      </w:r>
      <w:r w:rsidRPr="00651469">
        <w:t>already</w:t>
      </w:r>
      <w:r w:rsidR="004A7F27">
        <w:t xml:space="preserve"> contain</w:t>
      </w:r>
      <w:r w:rsidRPr="00651469">
        <w:t xml:space="preserve"> GLASS antibiotics</w:t>
      </w:r>
      <w:r w:rsidR="00F0532A" w:rsidRPr="00651469">
        <w:t xml:space="preserve"> i</w:t>
      </w:r>
      <w:r w:rsidR="004A7F27">
        <w:t xml:space="preserve">f the user </w:t>
      </w:r>
      <w:r w:rsidR="00F0532A" w:rsidRPr="00651469">
        <w:t>ha</w:t>
      </w:r>
      <w:r w:rsidR="004A7F27">
        <w:t>s</w:t>
      </w:r>
      <w:r w:rsidR="00F0532A" w:rsidRPr="00651469">
        <w:t xml:space="preserve"> chosen the </w:t>
      </w:r>
      <w:r w:rsidR="007909A0">
        <w:tab/>
      </w:r>
      <w:r w:rsidR="007909A0">
        <w:tab/>
      </w:r>
      <w:r w:rsidR="00F0532A" w:rsidRPr="00651469">
        <w:t>GLASS laboratory configuration</w:t>
      </w:r>
      <w:r w:rsidRPr="00651469">
        <w:t>.</w:t>
      </w:r>
    </w:p>
    <w:p w14:paraId="35E3D4FD" w14:textId="77777777" w:rsidR="00626AEB" w:rsidRDefault="00626AEB" w:rsidP="00626AEB">
      <w:pPr>
        <w:pStyle w:val="Comments"/>
        <w:ind w:left="0"/>
      </w:pPr>
    </w:p>
    <w:p w14:paraId="006EBF24" w14:textId="375FD91E" w:rsidR="00626AEB" w:rsidRPr="002E0300" w:rsidRDefault="00431553" w:rsidP="00626AEB">
      <w:pPr>
        <w:pStyle w:val="Comments"/>
        <w:ind w:left="0"/>
        <w:jc w:val="center"/>
      </w:pPr>
      <w:r>
        <w:rPr>
          <w:noProof/>
        </w:rPr>
        <w:drawing>
          <wp:inline distT="0" distB="0" distL="0" distR="0" wp14:anchorId="73192CFC" wp14:editId="4193BCA9">
            <wp:extent cx="5732145" cy="2760345"/>
            <wp:effectExtent l="0" t="0" r="1905" b="1905"/>
            <wp:docPr id="9124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4550" name=""/>
                    <pic:cNvPicPr/>
                  </pic:nvPicPr>
                  <pic:blipFill>
                    <a:blip r:embed="rId35"/>
                    <a:stretch>
                      <a:fillRect/>
                    </a:stretch>
                  </pic:blipFill>
                  <pic:spPr>
                    <a:xfrm>
                      <a:off x="0" y="0"/>
                      <a:ext cx="5732145" cy="2760345"/>
                    </a:xfrm>
                    <a:prstGeom prst="rect">
                      <a:avLst/>
                    </a:prstGeom>
                  </pic:spPr>
                </pic:pic>
              </a:graphicData>
            </a:graphic>
          </wp:inline>
        </w:drawing>
      </w:r>
    </w:p>
    <w:p w14:paraId="33A7684C" w14:textId="77777777" w:rsidR="00626AEB" w:rsidRDefault="00626AEB" w:rsidP="00626AEB">
      <w:pPr>
        <w:pStyle w:val="Comments"/>
        <w:ind w:left="0"/>
      </w:pPr>
    </w:p>
    <w:p w14:paraId="3859097F" w14:textId="77777777" w:rsidR="00626AEB" w:rsidRPr="00E50E26" w:rsidRDefault="00626AEB" w:rsidP="00F40BBD">
      <w:pPr>
        <w:pStyle w:val="BodyText"/>
      </w:pPr>
      <w:r w:rsidRPr="00E50E26">
        <w:rPr>
          <w:rStyle w:val="CommentHeader"/>
        </w:rPr>
        <w:t>Step 2</w:t>
      </w:r>
      <w:r w:rsidR="00BE12BF" w:rsidRPr="00E50E26">
        <w:rPr>
          <w:rStyle w:val="CommentHeader"/>
        </w:rPr>
        <w:t>:</w:t>
      </w:r>
      <w:r w:rsidRPr="00E50E26">
        <w:t xml:space="preserve"> </w:t>
      </w:r>
      <w:r w:rsidR="007909A0" w:rsidRPr="00E50E26">
        <w:tab/>
      </w:r>
      <w:r w:rsidRPr="00E50E26">
        <w:t>For each combination of antibiotic, method and testing guidelines:</w:t>
      </w:r>
    </w:p>
    <w:p w14:paraId="4ACE22F7" w14:textId="77777777" w:rsidR="00626AEB" w:rsidRPr="00651469" w:rsidRDefault="000F3BE7" w:rsidP="00F40BBD">
      <w:pPr>
        <w:pStyle w:val="Bodytextbullet"/>
      </w:pPr>
      <w:r>
        <w:t>S</w:t>
      </w:r>
      <w:r w:rsidR="00626AEB" w:rsidRPr="00651469">
        <w:t xml:space="preserve">elect the correct testing guidelines (CLSI, EUCAST, </w:t>
      </w:r>
      <w:r w:rsidR="00626AEB" w:rsidRPr="00651469">
        <w:rPr>
          <w:i/>
        </w:rPr>
        <w:t>etc.</w:t>
      </w:r>
      <w:r w:rsidR="00626AEB" w:rsidRPr="00651469">
        <w:t>)</w:t>
      </w:r>
      <w:r w:rsidR="00651469">
        <w:t>; and</w:t>
      </w:r>
    </w:p>
    <w:p w14:paraId="61204D5F" w14:textId="77777777" w:rsidR="00626AEB" w:rsidRPr="00651469" w:rsidRDefault="00626AEB" w:rsidP="00F40BBD">
      <w:pPr>
        <w:pStyle w:val="Bodytextbullet"/>
      </w:pPr>
      <w:r w:rsidRPr="00651469">
        <w:t>click on the correct test method (disk diffusion, MIC, ETest</w:t>
      </w:r>
      <w:r w:rsidRPr="00651469">
        <w:rPr>
          <w:vertAlign w:val="superscript"/>
        </w:rPr>
        <w:sym w:font="Symbol" w:char="F0D2"/>
      </w:r>
      <w:r w:rsidRPr="00651469">
        <w:t>)</w:t>
      </w:r>
      <w:r w:rsidR="00651469">
        <w:t>; and</w:t>
      </w:r>
    </w:p>
    <w:p w14:paraId="2F452814" w14:textId="77777777" w:rsidR="00626AEB" w:rsidRPr="00651469" w:rsidRDefault="00626AEB" w:rsidP="00F40BBD">
      <w:pPr>
        <w:pStyle w:val="Bodytextbullet"/>
      </w:pPr>
      <w:r w:rsidRPr="00651469">
        <w:t>select the correct antibiotic (and disk potency for disk diffusion testing)</w:t>
      </w:r>
      <w:r w:rsidR="00651469">
        <w:t>.</w:t>
      </w:r>
    </w:p>
    <w:p w14:paraId="0B1F56B1" w14:textId="77777777" w:rsidR="00626AEB" w:rsidRPr="00651469" w:rsidRDefault="004A7F27" w:rsidP="006B0FE9">
      <w:pPr>
        <w:pStyle w:val="BodyText"/>
      </w:pPr>
      <w:r>
        <w:t>A</w:t>
      </w:r>
      <w:r w:rsidR="00626AEB" w:rsidRPr="00651469">
        <w:t xml:space="preserve">n antibiotic </w:t>
      </w:r>
      <w:r>
        <w:t xml:space="preserve">can be selected </w:t>
      </w:r>
      <w:r w:rsidR="00626AEB" w:rsidRPr="00651469">
        <w:t>by double-clicking on it or, alternatively</w:t>
      </w:r>
      <w:r w:rsidR="00BE12BF">
        <w:t>,</w:t>
      </w:r>
      <w:r w:rsidR="00626AEB" w:rsidRPr="00651469">
        <w:t xml:space="preserve"> by clicking on it once and then c</w:t>
      </w:r>
      <w:r w:rsidR="00651469">
        <w:t>licking the right arrow button “--&gt;”</w:t>
      </w:r>
      <w:r w:rsidR="00626AEB" w:rsidRPr="00651469">
        <w:t>.</w:t>
      </w:r>
    </w:p>
    <w:p w14:paraId="4C4D8C75" w14:textId="77777777" w:rsidR="00E50E26" w:rsidRDefault="004A7F27" w:rsidP="00E50E26">
      <w:pPr>
        <w:pStyle w:val="BodyText"/>
      </w:pPr>
      <w:r>
        <w:t>Once all the</w:t>
      </w:r>
      <w:r w:rsidR="00626AEB" w:rsidRPr="00651469">
        <w:t xml:space="preserve"> antibiotics</w:t>
      </w:r>
      <w:r>
        <w:t xml:space="preserve"> have been entered</w:t>
      </w:r>
      <w:r w:rsidR="00626AEB" w:rsidRPr="00651469">
        <w:t>, review the list and make any needed corrections. To remove an antibiotic from the local antibiotic list, double-click on the antibiotic or single-click on the antibiotic</w:t>
      </w:r>
      <w:r w:rsidR="00651469">
        <w:t xml:space="preserve"> and hit the left arrow button “&lt;--“</w:t>
      </w:r>
      <w:r w:rsidR="00626AEB" w:rsidRPr="00651469">
        <w:t xml:space="preserve">.  </w:t>
      </w:r>
      <w:r>
        <w:t>T</w:t>
      </w:r>
      <w:r w:rsidR="00626AEB" w:rsidRPr="00651469">
        <w:t xml:space="preserve">he sequence of the antibiotics </w:t>
      </w:r>
      <w:r>
        <w:t>may be changed using the</w:t>
      </w:r>
      <w:r w:rsidR="00651469">
        <w:t xml:space="preserve"> “</w:t>
      </w:r>
      <w:r w:rsidR="0022560B">
        <w:t>Move u</w:t>
      </w:r>
      <w:r w:rsidR="00626AEB" w:rsidRPr="00651469">
        <w:t>p</w:t>
      </w:r>
      <w:r w:rsidR="00651469">
        <w:t>” and “</w:t>
      </w:r>
      <w:r w:rsidR="0022560B">
        <w:t>Move d</w:t>
      </w:r>
      <w:r w:rsidR="00626AEB" w:rsidRPr="00651469">
        <w:t>own</w:t>
      </w:r>
      <w:r w:rsidR="00651469">
        <w:t>”</w:t>
      </w:r>
      <w:r w:rsidR="00626AEB" w:rsidRPr="00651469">
        <w:t xml:space="preserve"> buttons.</w:t>
      </w:r>
      <w:bookmarkStart w:id="47" w:name="_Toc446237508"/>
    </w:p>
    <w:p w14:paraId="56123B45" w14:textId="77777777" w:rsidR="00626AEB" w:rsidRPr="00651469" w:rsidRDefault="00E50E26" w:rsidP="00E50E26">
      <w:pPr>
        <w:pStyle w:val="BodyText"/>
      </w:pPr>
      <w:r>
        <w:t xml:space="preserve">Note: </w:t>
      </w:r>
      <w:r>
        <w:tab/>
      </w:r>
      <w:r w:rsidR="00626AEB" w:rsidRPr="00E50E26">
        <w:rPr>
          <w:rFonts w:cstheme="minorHAnsi"/>
        </w:rPr>
        <w:t>Each</w:t>
      </w:r>
      <w:r w:rsidR="00626AEB" w:rsidRPr="00E50E26">
        <w:t xml:space="preserve"> antibiotic test is given a code (up to nine letters) consisting of:  the three-letter </w:t>
      </w:r>
      <w:r w:rsidR="009F6D5A">
        <w:tab/>
      </w:r>
      <w:r w:rsidR="00626AEB" w:rsidRPr="00E50E26">
        <w:t>antibiotic</w:t>
      </w:r>
      <w:r w:rsidR="00626AEB" w:rsidRPr="00651469">
        <w:t xml:space="preserve"> code, a one-letter code indicating the guideline reference (</w:t>
      </w:r>
      <w:r w:rsidR="00626AEB" w:rsidRPr="0022560B">
        <w:t>e.g.</w:t>
      </w:r>
      <w:r w:rsidR="00626AEB" w:rsidRPr="00651469">
        <w:t xml:space="preserve"> N=CLSI, formerly </w:t>
      </w:r>
      <w:r w:rsidR="009F6D5A">
        <w:tab/>
      </w:r>
      <w:r w:rsidR="00626AEB" w:rsidRPr="00651469">
        <w:t xml:space="preserve">NCCLS, E=EUCAST), a one-letter code indicating the test method (D=disk diffusion, M=MIC, </w:t>
      </w:r>
      <w:r w:rsidR="009F6D5A">
        <w:tab/>
      </w:r>
      <w:r w:rsidR="00626AEB" w:rsidRPr="00651469">
        <w:t>E=ETest</w:t>
      </w:r>
      <w:r w:rsidR="00626AEB" w:rsidRPr="00651469">
        <w:rPr>
          <w:vertAlign w:val="superscript"/>
        </w:rPr>
        <w:sym w:font="Symbol" w:char="F0D2"/>
      </w:r>
      <w:r w:rsidR="00626AEB" w:rsidRPr="00651469">
        <w:t>), and a disk potency for drugs tested by disk diffusion. For MIC or ETest</w:t>
      </w:r>
      <w:r w:rsidR="00651469" w:rsidRPr="00651469">
        <w:rPr>
          <w:vertAlign w:val="superscript"/>
        </w:rPr>
        <w:sym w:font="Symbol" w:char="F0D2"/>
      </w:r>
      <w:r w:rsidR="004A7F27">
        <w:t xml:space="preserve"> it is</w:t>
      </w:r>
      <w:r w:rsidR="00626AEB" w:rsidRPr="00651469">
        <w:t xml:space="preserve"> onl</w:t>
      </w:r>
      <w:r w:rsidR="004A7F27">
        <w:t xml:space="preserve">y </w:t>
      </w:r>
      <w:r w:rsidR="009F6D5A">
        <w:lastRenderedPageBreak/>
        <w:tab/>
      </w:r>
      <w:r w:rsidR="004A7F27">
        <w:t>necessary</w:t>
      </w:r>
      <w:r w:rsidR="00626AEB" w:rsidRPr="00651469">
        <w:t xml:space="preserve"> to select the correct antibiotic and correct guideline – the disk potency indicated </w:t>
      </w:r>
      <w:r w:rsidR="009F6D5A">
        <w:tab/>
      </w:r>
      <w:r w:rsidR="00626AEB" w:rsidRPr="00651469">
        <w:t xml:space="preserve">is not relevant. For example, the code GEN_ND10 represents:  gentamicin, CLSI (NCCLS), disk </w:t>
      </w:r>
      <w:r w:rsidR="009F6D5A">
        <w:tab/>
      </w:r>
      <w:r w:rsidR="00626AEB" w:rsidRPr="00651469">
        <w:t>diffusion, 10 µg, while GEN_EM is: gentamicin, EUCAST, MIC.</w:t>
      </w:r>
    </w:p>
    <w:p w14:paraId="1478ACF2" w14:textId="77777777" w:rsidR="00626AEB" w:rsidRPr="00E50E26" w:rsidRDefault="00626AEB" w:rsidP="006B0FE9">
      <w:pPr>
        <w:pStyle w:val="BodyText"/>
      </w:pPr>
      <w:r w:rsidRPr="00E50E26">
        <w:rPr>
          <w:rStyle w:val="CommentHeader"/>
        </w:rPr>
        <w:t>Step 3</w:t>
      </w:r>
      <w:r w:rsidR="00BE12BF" w:rsidRPr="00E50E26">
        <w:t xml:space="preserve">: </w:t>
      </w:r>
      <w:r w:rsidR="007909A0" w:rsidRPr="00E50E26">
        <w:tab/>
      </w:r>
      <w:r w:rsidRPr="00E50E26">
        <w:t xml:space="preserve">When satisfied with the list, </w:t>
      </w:r>
      <w:r w:rsidR="004A7F27" w:rsidRPr="00E50E26">
        <w:t>the user</w:t>
      </w:r>
      <w:r w:rsidRPr="00E50E26">
        <w:t xml:space="preserve"> </w:t>
      </w:r>
      <w:r w:rsidR="004A7F27" w:rsidRPr="00E50E26">
        <w:t>can choose from</w:t>
      </w:r>
      <w:r w:rsidRPr="00E50E26">
        <w:t xml:space="preserve"> the following options:</w:t>
      </w:r>
    </w:p>
    <w:p w14:paraId="748F8273" w14:textId="77777777" w:rsidR="00626AEB" w:rsidRPr="00651469" w:rsidRDefault="00651469" w:rsidP="006B0FE9">
      <w:pPr>
        <w:pStyle w:val="Bodytextbullet"/>
      </w:pPr>
      <w:r>
        <w:t>“</w:t>
      </w:r>
      <w:r w:rsidR="00626AEB" w:rsidRPr="00651469">
        <w:t>OK</w:t>
      </w:r>
      <w:r>
        <w:t>”</w:t>
      </w:r>
      <w:r w:rsidR="00626AEB" w:rsidRPr="00651469">
        <w:t xml:space="preserve"> to return to ma</w:t>
      </w:r>
      <w:r>
        <w:t>in “Laboratory c</w:t>
      </w:r>
      <w:r w:rsidR="00626AEB" w:rsidRPr="00651469">
        <w:t>onfiguration</w:t>
      </w:r>
      <w:r>
        <w:t>”</w:t>
      </w:r>
      <w:r w:rsidR="0022560B">
        <w:t xml:space="preserve"> screen.</w:t>
      </w:r>
      <w:r w:rsidR="00626AEB" w:rsidRPr="00651469">
        <w:t xml:space="preserve"> Note the information </w:t>
      </w:r>
      <w:r>
        <w:t xml:space="preserve">has </w:t>
      </w:r>
      <w:r w:rsidR="007909A0">
        <w:tab/>
      </w:r>
      <w:r>
        <w:t>to be saved by clicking on “Save” in the main “Laboratory c</w:t>
      </w:r>
      <w:r w:rsidR="00626AEB" w:rsidRPr="00651469">
        <w:t>onfiguration</w:t>
      </w:r>
      <w:r>
        <w:t>”</w:t>
      </w:r>
      <w:r w:rsidR="00626AEB" w:rsidRPr="00651469">
        <w:t xml:space="preserve"> screen.</w:t>
      </w:r>
    </w:p>
    <w:bookmarkEnd w:id="47"/>
    <w:p w14:paraId="408C5B01" w14:textId="77777777" w:rsidR="00626AEB" w:rsidRPr="00651469" w:rsidRDefault="00651469" w:rsidP="006B0FE9">
      <w:pPr>
        <w:pStyle w:val="Bodytextbullet"/>
      </w:pPr>
      <w:r>
        <w:t>“Panels” and “Profiles”</w:t>
      </w:r>
      <w:r w:rsidR="00626AEB" w:rsidRPr="00651469">
        <w:t xml:space="preserve"> are optional</w:t>
      </w:r>
      <w:r w:rsidR="00BE12BF">
        <w:t>:</w:t>
      </w:r>
      <w:r w:rsidR="00626AEB" w:rsidRPr="00651469">
        <w:t xml:space="preserve"> to facilitate data entry, </w:t>
      </w:r>
      <w:r w:rsidR="004A7F27">
        <w:t>the user</w:t>
      </w:r>
      <w:r w:rsidR="00A55BED">
        <w:t xml:space="preserve"> may wish to </w:t>
      </w:r>
      <w:r>
        <w:t>use “Panels”</w:t>
      </w:r>
      <w:r w:rsidR="00626AEB" w:rsidRPr="00651469">
        <w:t xml:space="preserve"> to indicate which antibiotics are tested</w:t>
      </w:r>
      <w:r w:rsidR="00A55BED">
        <w:t xml:space="preserve"> for each kind of organism. For </w:t>
      </w:r>
      <w:r w:rsidR="00626AEB" w:rsidRPr="00651469">
        <w:t xml:space="preserve">details refer to </w:t>
      </w:r>
      <w:r w:rsidR="00A55BED">
        <w:t xml:space="preserve">the complete </w:t>
      </w:r>
      <w:r w:rsidR="00626AEB" w:rsidRPr="00651469">
        <w:t>WHONET manual.</w:t>
      </w:r>
    </w:p>
    <w:p w14:paraId="638C1E7C" w14:textId="77777777" w:rsidR="00626AEB" w:rsidRPr="00651469" w:rsidRDefault="00651469" w:rsidP="006B0FE9">
      <w:pPr>
        <w:pStyle w:val="Bodytextbullet"/>
      </w:pPr>
      <w:r>
        <w:t>“Print”</w:t>
      </w:r>
      <w:r w:rsidR="00C761EE">
        <w:t xml:space="preserve">: </w:t>
      </w:r>
      <w:r w:rsidR="00626AEB" w:rsidRPr="00651469">
        <w:t xml:space="preserve">obtain a printout of </w:t>
      </w:r>
      <w:r w:rsidR="004A7F27">
        <w:t>the</w:t>
      </w:r>
      <w:r w:rsidR="00626AEB" w:rsidRPr="00651469">
        <w:t xml:space="preserve"> anti</w:t>
      </w:r>
      <w:r w:rsidR="00C761EE">
        <w:t xml:space="preserve">biotics and their breakpoints. </w:t>
      </w:r>
      <w:r w:rsidR="00A55BED">
        <w:t xml:space="preserve">It is recommended </w:t>
      </w:r>
      <w:r w:rsidR="00626AEB" w:rsidRPr="00651469">
        <w:t xml:space="preserve">that breakpoints </w:t>
      </w:r>
      <w:r w:rsidR="004A7F27">
        <w:t xml:space="preserve">are printed </w:t>
      </w:r>
      <w:r w:rsidR="00626AEB" w:rsidRPr="00651469">
        <w:t>for review and reference before data entry</w:t>
      </w:r>
      <w:r w:rsidR="004A7F27">
        <w:t xml:space="preserve"> </w:t>
      </w:r>
      <w:r w:rsidR="007909A0">
        <w:tab/>
      </w:r>
      <w:r w:rsidR="004A7F27">
        <w:t>commences</w:t>
      </w:r>
      <w:r w:rsidR="00626AEB" w:rsidRPr="00651469">
        <w:t>.</w:t>
      </w:r>
    </w:p>
    <w:p w14:paraId="117A752F" w14:textId="77777777" w:rsidR="00626AEB" w:rsidRPr="00651469" w:rsidRDefault="00651469" w:rsidP="006B0FE9">
      <w:pPr>
        <w:pStyle w:val="Bodytextbullet"/>
      </w:pPr>
      <w:r>
        <w:t>“</w:t>
      </w:r>
      <w:r w:rsidR="00626AEB" w:rsidRPr="00651469">
        <w:t>Breakpoints</w:t>
      </w:r>
      <w:r>
        <w:t>”</w:t>
      </w:r>
      <w:r w:rsidR="00C761EE">
        <w:t>:</w:t>
      </w:r>
      <w:r w:rsidR="00626AEB" w:rsidRPr="00651469">
        <w:t xml:space="preserve"> to review, modify and update the antibiotic breakpoints. See </w:t>
      </w:r>
      <w:r w:rsidR="00A55BED">
        <w:t xml:space="preserve">next </w:t>
      </w:r>
      <w:r w:rsidR="00F0532A" w:rsidRPr="00651469">
        <w:t xml:space="preserve">section 3 </w:t>
      </w:r>
      <w:r>
        <w:t>“Antibiotic b</w:t>
      </w:r>
      <w:r w:rsidR="00F0532A" w:rsidRPr="00651469">
        <w:t>reakpoints</w:t>
      </w:r>
      <w:r>
        <w:t>”</w:t>
      </w:r>
      <w:r w:rsidR="00F0532A" w:rsidRPr="00651469">
        <w:t>.</w:t>
      </w:r>
    </w:p>
    <w:p w14:paraId="21EE4266" w14:textId="77777777" w:rsidR="00626AEB" w:rsidRPr="00E40FCC" w:rsidRDefault="00626AEB" w:rsidP="00E40FCC">
      <w:pPr>
        <w:pStyle w:val="Heading2"/>
        <w:numPr>
          <w:ilvl w:val="0"/>
          <w:numId w:val="9"/>
        </w:numPr>
        <w:ind w:left="709" w:hanging="709"/>
        <w:rPr>
          <w:rStyle w:val="CommentHeader"/>
          <w:i w:val="0"/>
          <w:iCs w:val="0"/>
          <w:smallCaps w:val="0"/>
          <w:u w:val="none"/>
        </w:rPr>
      </w:pPr>
      <w:bookmarkStart w:id="48" w:name="_Toc446237509"/>
      <w:bookmarkStart w:id="49" w:name="_Toc447713643"/>
      <w:bookmarkStart w:id="50" w:name="_Toc447720545"/>
      <w:bookmarkStart w:id="51" w:name="_Toc450356905"/>
      <w:bookmarkStart w:id="52" w:name="_Toc466271242"/>
      <w:bookmarkStart w:id="53" w:name="_Toc170728129"/>
      <w:r w:rsidRPr="00E40FCC">
        <w:rPr>
          <w:rStyle w:val="CommentHeader"/>
          <w:i w:val="0"/>
          <w:iCs w:val="0"/>
          <w:smallCaps w:val="0"/>
          <w:u w:val="none"/>
        </w:rPr>
        <w:t xml:space="preserve">Antibiotic </w:t>
      </w:r>
      <w:r w:rsidR="00BE12BF" w:rsidRPr="00E40FCC">
        <w:rPr>
          <w:rStyle w:val="CommentHeader"/>
          <w:i w:val="0"/>
          <w:iCs w:val="0"/>
          <w:smallCaps w:val="0"/>
          <w:u w:val="none"/>
        </w:rPr>
        <w:t>b</w:t>
      </w:r>
      <w:r w:rsidRPr="00E40FCC">
        <w:rPr>
          <w:rStyle w:val="CommentHeader"/>
          <w:i w:val="0"/>
          <w:iCs w:val="0"/>
          <w:smallCaps w:val="0"/>
          <w:u w:val="none"/>
        </w:rPr>
        <w:t>reakpoints</w:t>
      </w:r>
      <w:bookmarkEnd w:id="48"/>
      <w:bookmarkEnd w:id="49"/>
      <w:bookmarkEnd w:id="50"/>
      <w:bookmarkEnd w:id="51"/>
      <w:bookmarkEnd w:id="52"/>
      <w:bookmarkEnd w:id="53"/>
    </w:p>
    <w:p w14:paraId="4C7610FB" w14:textId="77777777" w:rsidR="00626AEB" w:rsidRPr="001132C1" w:rsidRDefault="00626AEB" w:rsidP="006B0FE9">
      <w:pPr>
        <w:pStyle w:val="BodyText"/>
        <w:rPr>
          <w:lang w:val="en-GB"/>
        </w:rPr>
      </w:pPr>
      <w:r w:rsidRPr="001132C1">
        <w:rPr>
          <w:lang w:val="en-GB"/>
        </w:rPr>
        <w:t xml:space="preserve">WHONET will automatically load the most recent breakpoints for the antibiotics </w:t>
      </w:r>
      <w:r w:rsidR="00BE12BF">
        <w:rPr>
          <w:lang w:val="en-GB"/>
        </w:rPr>
        <w:t>that</w:t>
      </w:r>
      <w:r w:rsidRPr="001132C1">
        <w:rPr>
          <w:lang w:val="en-GB"/>
        </w:rPr>
        <w:t xml:space="preserve"> have </w:t>
      </w:r>
      <w:r w:rsidR="004A7F27">
        <w:rPr>
          <w:lang w:val="en-GB"/>
        </w:rPr>
        <w:t xml:space="preserve">been </w:t>
      </w:r>
      <w:r w:rsidRPr="001132C1">
        <w:rPr>
          <w:lang w:val="en-GB"/>
        </w:rPr>
        <w:t>indicated. Although not recommended</w:t>
      </w:r>
      <w:r>
        <w:rPr>
          <w:lang w:val="en-GB"/>
        </w:rPr>
        <w:t xml:space="preserve"> for most users</w:t>
      </w:r>
      <w:r w:rsidRPr="001132C1">
        <w:rPr>
          <w:lang w:val="en-GB"/>
        </w:rPr>
        <w:t xml:space="preserve">, it may happen that a laboratory uses other breakpoints then standard </w:t>
      </w:r>
      <w:r>
        <w:rPr>
          <w:lang w:val="en-GB"/>
        </w:rPr>
        <w:t xml:space="preserve">reference </w:t>
      </w:r>
      <w:r w:rsidRPr="001132C1">
        <w:rPr>
          <w:lang w:val="en-GB"/>
        </w:rPr>
        <w:t xml:space="preserve">breakpoints, </w:t>
      </w:r>
      <w:r>
        <w:rPr>
          <w:lang w:val="en-GB"/>
        </w:rPr>
        <w:t xml:space="preserve">and </w:t>
      </w:r>
      <w:r w:rsidRPr="001132C1">
        <w:rPr>
          <w:lang w:val="en-GB"/>
        </w:rPr>
        <w:t>for these situations</w:t>
      </w:r>
      <w:r w:rsidR="004A7F27">
        <w:rPr>
          <w:lang w:val="en-GB"/>
        </w:rPr>
        <w:t xml:space="preserve"> it is possible to</w:t>
      </w:r>
      <w:r w:rsidRPr="001132C1">
        <w:rPr>
          <w:lang w:val="en-GB"/>
        </w:rPr>
        <w:t xml:space="preserve"> edit the </w:t>
      </w:r>
      <w:r>
        <w:rPr>
          <w:lang w:val="en-GB"/>
        </w:rPr>
        <w:t xml:space="preserve">WHONET-provided </w:t>
      </w:r>
      <w:r w:rsidRPr="001132C1">
        <w:rPr>
          <w:lang w:val="en-GB"/>
        </w:rPr>
        <w:t>standard breakpoints.</w:t>
      </w:r>
    </w:p>
    <w:p w14:paraId="6876436D" w14:textId="77777777" w:rsidR="00626AEB" w:rsidRPr="00E50E26" w:rsidRDefault="00626AEB" w:rsidP="00C62950">
      <w:pPr>
        <w:pStyle w:val="Comments"/>
        <w:ind w:left="0"/>
        <w:rPr>
          <w:rStyle w:val="CommentHeader"/>
          <w:rFonts w:asciiTheme="minorHAnsi" w:hAnsiTheme="minorHAnsi" w:cstheme="minorHAnsi"/>
          <w:sz w:val="22"/>
          <w:szCs w:val="22"/>
        </w:rPr>
      </w:pPr>
      <w:r w:rsidRPr="00E50E26">
        <w:rPr>
          <w:rStyle w:val="CommentHeader"/>
          <w:rFonts w:asciiTheme="minorHAnsi" w:hAnsiTheme="minorHAnsi" w:cstheme="minorHAnsi"/>
          <w:sz w:val="22"/>
          <w:szCs w:val="22"/>
        </w:rPr>
        <w:t>Instructions</w:t>
      </w:r>
    </w:p>
    <w:p w14:paraId="1C058910" w14:textId="77777777" w:rsidR="00626AEB" w:rsidRPr="00E50E26" w:rsidRDefault="00626AEB" w:rsidP="00626AEB">
      <w:pPr>
        <w:pStyle w:val="Comments"/>
        <w:rPr>
          <w:sz w:val="22"/>
          <w:szCs w:val="22"/>
          <w:u w:val="single"/>
        </w:rPr>
      </w:pPr>
    </w:p>
    <w:p w14:paraId="7B9C44FB" w14:textId="217669CC" w:rsidR="00626AEB" w:rsidRDefault="00626AEB" w:rsidP="00616605">
      <w:pPr>
        <w:pStyle w:val="Comments"/>
        <w:tabs>
          <w:tab w:val="clear" w:pos="567"/>
          <w:tab w:val="clear" w:pos="1134"/>
          <w:tab w:val="left" w:pos="993"/>
          <w:tab w:val="left" w:pos="1418"/>
        </w:tabs>
        <w:ind w:left="720" w:hanging="720"/>
      </w:pPr>
      <w:r w:rsidRPr="00E50E26">
        <w:rPr>
          <w:rStyle w:val="CommentHeader"/>
          <w:rFonts w:asciiTheme="minorHAnsi" w:hAnsiTheme="minorHAnsi" w:cstheme="minorHAnsi"/>
          <w:sz w:val="22"/>
          <w:szCs w:val="22"/>
        </w:rPr>
        <w:t>Step 1</w:t>
      </w:r>
      <w:r w:rsidR="004A7F27" w:rsidRPr="00E50E26">
        <w:rPr>
          <w:rStyle w:val="CommentHeader"/>
          <w:rFonts w:asciiTheme="minorHAnsi" w:hAnsiTheme="minorHAnsi" w:cstheme="minorHAnsi"/>
          <w:sz w:val="22"/>
          <w:szCs w:val="22"/>
        </w:rPr>
        <w:t>:</w:t>
      </w:r>
      <w:r w:rsidRPr="00E50E26">
        <w:rPr>
          <w:sz w:val="22"/>
          <w:szCs w:val="22"/>
        </w:rPr>
        <w:t xml:space="preserve"> </w:t>
      </w:r>
      <w:r w:rsidR="00C62950" w:rsidRPr="00E50E26">
        <w:rPr>
          <w:sz w:val="22"/>
          <w:szCs w:val="22"/>
        </w:rPr>
        <w:tab/>
      </w:r>
      <w:r w:rsidRPr="00E50E26">
        <w:rPr>
          <w:rFonts w:asciiTheme="minorHAnsi" w:hAnsiTheme="minorHAnsi" w:cstheme="minorHAnsi"/>
          <w:sz w:val="22"/>
          <w:szCs w:val="22"/>
        </w:rPr>
        <w:t xml:space="preserve">From the </w:t>
      </w:r>
      <w:r w:rsidR="00651469" w:rsidRPr="00E50E26">
        <w:rPr>
          <w:rFonts w:asciiTheme="minorHAnsi" w:hAnsiTheme="minorHAnsi" w:cstheme="minorHAnsi"/>
          <w:sz w:val="22"/>
          <w:szCs w:val="22"/>
        </w:rPr>
        <w:t>“</w:t>
      </w:r>
      <w:r w:rsidRPr="00E50E26">
        <w:rPr>
          <w:rFonts w:asciiTheme="minorHAnsi" w:hAnsiTheme="minorHAnsi" w:cstheme="minorHAnsi"/>
          <w:sz w:val="22"/>
          <w:szCs w:val="22"/>
        </w:rPr>
        <w:t xml:space="preserve">Antibiotic </w:t>
      </w:r>
      <w:r w:rsidR="00651469" w:rsidRPr="00E50E26">
        <w:rPr>
          <w:rFonts w:asciiTheme="minorHAnsi" w:hAnsiTheme="minorHAnsi" w:cstheme="minorHAnsi"/>
          <w:sz w:val="22"/>
          <w:szCs w:val="22"/>
        </w:rPr>
        <w:t>configuration” screen, click on “Breakpoints”</w:t>
      </w:r>
      <w:r w:rsidRPr="00E50E26">
        <w:rPr>
          <w:rFonts w:asciiTheme="minorHAnsi" w:hAnsiTheme="minorHAnsi" w:cstheme="minorHAnsi"/>
          <w:sz w:val="22"/>
          <w:szCs w:val="22"/>
        </w:rPr>
        <w:t xml:space="preserve">.  The following screen </w:t>
      </w:r>
      <w:r w:rsidR="000846BF" w:rsidRPr="00E50E26">
        <w:rPr>
          <w:rFonts w:asciiTheme="minorHAnsi" w:hAnsiTheme="minorHAnsi" w:cstheme="minorHAnsi"/>
          <w:sz w:val="22"/>
          <w:szCs w:val="22"/>
        </w:rPr>
        <w:t xml:space="preserve">will </w:t>
      </w:r>
      <w:r w:rsidRPr="00E50E26">
        <w:rPr>
          <w:rFonts w:asciiTheme="minorHAnsi" w:hAnsiTheme="minorHAnsi" w:cstheme="minorHAnsi"/>
          <w:sz w:val="22"/>
          <w:szCs w:val="22"/>
        </w:rPr>
        <w:t>appear.</w:t>
      </w:r>
    </w:p>
    <w:p w14:paraId="1351B04B" w14:textId="34A7B71F" w:rsidR="00626AEB" w:rsidRPr="002E0300" w:rsidRDefault="00616605" w:rsidP="00616605">
      <w:pPr>
        <w:pStyle w:val="Comments"/>
        <w:jc w:val="center"/>
      </w:pPr>
      <w:r>
        <w:rPr>
          <w:noProof/>
        </w:rPr>
        <w:drawing>
          <wp:inline distT="0" distB="0" distL="0" distR="0" wp14:anchorId="31178B0A" wp14:editId="6F3DDA44">
            <wp:extent cx="4295775" cy="22288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95775" cy="2228850"/>
                    </a:xfrm>
                    <a:prstGeom prst="rect">
                      <a:avLst/>
                    </a:prstGeom>
                  </pic:spPr>
                </pic:pic>
              </a:graphicData>
            </a:graphic>
          </wp:inline>
        </w:drawing>
      </w:r>
    </w:p>
    <w:p w14:paraId="3FE4D87B" w14:textId="77777777" w:rsidR="00C62950" w:rsidRDefault="00C62950" w:rsidP="00C62950">
      <w:pPr>
        <w:pStyle w:val="Comments"/>
        <w:tabs>
          <w:tab w:val="clear" w:pos="567"/>
          <w:tab w:val="left" w:pos="284"/>
        </w:tabs>
        <w:ind w:left="709" w:hanging="709"/>
        <w:rPr>
          <w:rStyle w:val="CommentHeader"/>
          <w:sz w:val="20"/>
          <w:szCs w:val="20"/>
        </w:rPr>
      </w:pPr>
    </w:p>
    <w:p w14:paraId="4951B91B" w14:textId="77777777" w:rsidR="00626AEB" w:rsidRPr="00E50E26" w:rsidRDefault="00626AEB" w:rsidP="00C62950">
      <w:pPr>
        <w:pStyle w:val="Comments"/>
        <w:tabs>
          <w:tab w:val="clear" w:pos="567"/>
          <w:tab w:val="left" w:pos="284"/>
        </w:tabs>
        <w:ind w:left="709" w:hanging="709"/>
        <w:rPr>
          <w:rFonts w:asciiTheme="minorHAnsi" w:hAnsiTheme="minorHAnsi" w:cstheme="minorHAnsi"/>
          <w:sz w:val="22"/>
          <w:szCs w:val="22"/>
        </w:rPr>
      </w:pPr>
      <w:r w:rsidRPr="00E50E26">
        <w:rPr>
          <w:rStyle w:val="CommentHeader"/>
          <w:rFonts w:asciiTheme="minorHAnsi" w:hAnsiTheme="minorHAnsi" w:cstheme="minorHAnsi"/>
          <w:sz w:val="22"/>
          <w:szCs w:val="22"/>
        </w:rPr>
        <w:t>Step 2</w:t>
      </w:r>
      <w:r w:rsidR="00BE12BF" w:rsidRPr="00E50E26">
        <w:rPr>
          <w:rStyle w:val="CommentHeader"/>
          <w:rFonts w:asciiTheme="minorHAnsi" w:hAnsiTheme="minorHAnsi" w:cstheme="minorHAnsi"/>
          <w:sz w:val="22"/>
          <w:szCs w:val="22"/>
        </w:rPr>
        <w:t>:</w:t>
      </w:r>
      <w:r w:rsidRPr="00E50E26">
        <w:rPr>
          <w:rFonts w:asciiTheme="minorHAnsi" w:hAnsiTheme="minorHAnsi" w:cstheme="minorHAnsi"/>
          <w:sz w:val="22"/>
          <w:szCs w:val="22"/>
        </w:rPr>
        <w:t xml:space="preserve"> </w:t>
      </w:r>
      <w:r w:rsidR="004A7F27" w:rsidRPr="00E50E26">
        <w:rPr>
          <w:rFonts w:asciiTheme="minorHAnsi" w:hAnsiTheme="minorHAnsi" w:cstheme="minorHAnsi"/>
          <w:sz w:val="22"/>
          <w:szCs w:val="22"/>
        </w:rPr>
        <w:t>T</w:t>
      </w:r>
      <w:r w:rsidRPr="00E50E26">
        <w:rPr>
          <w:rFonts w:asciiTheme="minorHAnsi" w:hAnsiTheme="minorHAnsi" w:cstheme="minorHAnsi"/>
          <w:sz w:val="22"/>
          <w:szCs w:val="22"/>
        </w:rPr>
        <w:t>he following options</w:t>
      </w:r>
      <w:r w:rsidR="004A7F27" w:rsidRPr="00E50E26">
        <w:rPr>
          <w:rFonts w:asciiTheme="minorHAnsi" w:hAnsiTheme="minorHAnsi" w:cstheme="minorHAnsi"/>
          <w:sz w:val="22"/>
          <w:szCs w:val="22"/>
        </w:rPr>
        <w:t xml:space="preserve"> are available</w:t>
      </w:r>
      <w:r w:rsidRPr="00E50E26">
        <w:rPr>
          <w:rFonts w:asciiTheme="minorHAnsi" w:hAnsiTheme="minorHAnsi" w:cstheme="minorHAnsi"/>
          <w:sz w:val="22"/>
          <w:szCs w:val="22"/>
        </w:rPr>
        <w:t>:</w:t>
      </w:r>
    </w:p>
    <w:p w14:paraId="5EE6B0E8" w14:textId="6BDB7FFA" w:rsidR="00626AEB" w:rsidRPr="00E50E26" w:rsidRDefault="00651469" w:rsidP="00C62950">
      <w:pPr>
        <w:pStyle w:val="Bodytextbullet"/>
      </w:pPr>
      <w:r w:rsidRPr="00E50E26">
        <w:t>“Species-specific”</w:t>
      </w:r>
      <w:r w:rsidR="00626AEB" w:rsidRPr="00E50E26">
        <w:t>:</w:t>
      </w:r>
      <w:r w:rsidR="00661A74" w:rsidRPr="00E50E26">
        <w:t xml:space="preserve"> </w:t>
      </w:r>
      <w:r w:rsidR="00626AEB" w:rsidRPr="00E50E26">
        <w:t xml:space="preserve">review and edit the list of species-specific disk diffusion or MIC breakpoints. For details, see </w:t>
      </w:r>
      <w:r w:rsidR="00626AEB" w:rsidRPr="00E50E26">
        <w:rPr>
          <w:rStyle w:val="CommentHeader"/>
          <w:u w:val="none"/>
        </w:rPr>
        <w:t xml:space="preserve">Step </w:t>
      </w:r>
      <w:r w:rsidR="00616605">
        <w:rPr>
          <w:rStyle w:val="CommentHeader"/>
          <w:u w:val="none"/>
        </w:rPr>
        <w:t>3a</w:t>
      </w:r>
      <w:r w:rsidR="00626AEB" w:rsidRPr="00E50E26">
        <w:t>.</w:t>
      </w:r>
    </w:p>
    <w:p w14:paraId="531DAA25" w14:textId="77777777" w:rsidR="006B0DB1" w:rsidRDefault="006B0DB1" w:rsidP="006B0DB1">
      <w:pPr>
        <w:pStyle w:val="Comments"/>
        <w:tabs>
          <w:tab w:val="clear" w:pos="567"/>
          <w:tab w:val="left" w:pos="284"/>
        </w:tabs>
        <w:jc w:val="left"/>
        <w:rPr>
          <w:sz w:val="20"/>
          <w:szCs w:val="20"/>
        </w:rPr>
      </w:pPr>
    </w:p>
    <w:p w14:paraId="28F5B953" w14:textId="23F085C7" w:rsidR="00626AEB" w:rsidRDefault="00651469" w:rsidP="006B0FE9">
      <w:pPr>
        <w:pStyle w:val="BodyText"/>
      </w:pPr>
      <w:r>
        <w:t>“Update breakpoints”</w:t>
      </w:r>
      <w:r w:rsidR="00626AEB" w:rsidRPr="00651469">
        <w:t xml:space="preserve">: The WHONET antibiotic definition files are updated annually as new recommendations from the reference authorities become available. </w:t>
      </w:r>
      <w:r w:rsidR="00661A74">
        <w:t>If the user</w:t>
      </w:r>
      <w:r w:rsidR="00626AEB" w:rsidRPr="00651469">
        <w:t xml:space="preserve"> download</w:t>
      </w:r>
      <w:r w:rsidR="00661A74">
        <w:t xml:space="preserve">s </w:t>
      </w:r>
      <w:r w:rsidR="00626AEB" w:rsidRPr="00651469">
        <w:t xml:space="preserve">WHONET on an annual basis, the download will include the new breakpoints. WHONET will not automatically </w:t>
      </w:r>
      <w:r w:rsidR="00626AEB" w:rsidRPr="00651469">
        <w:lastRenderedPageBreak/>
        <w:t xml:space="preserve">use these new breakpoints for </w:t>
      </w:r>
      <w:r w:rsidR="00661A74">
        <w:t>an</w:t>
      </w:r>
      <w:r w:rsidR="00626AEB" w:rsidRPr="00651469">
        <w:t xml:space="preserve"> existing antibiotic list until </w:t>
      </w:r>
      <w:r w:rsidR="00661A74">
        <w:t>the user</w:t>
      </w:r>
      <w:r w:rsidR="00626AEB" w:rsidRPr="00651469">
        <w:t xml:space="preserve"> click</w:t>
      </w:r>
      <w:r w:rsidR="00661A74">
        <w:t>s</w:t>
      </w:r>
      <w:r>
        <w:t xml:space="preserve"> on “</w:t>
      </w:r>
      <w:r w:rsidR="00626AEB" w:rsidRPr="00651469">
        <w:t>Update breakpoints</w:t>
      </w:r>
      <w:r>
        <w:t>”</w:t>
      </w:r>
      <w:r w:rsidR="00626AEB" w:rsidRPr="00651469">
        <w:t xml:space="preserve"> to replace the breakpoints </w:t>
      </w:r>
      <w:r w:rsidR="001B03A5">
        <w:t xml:space="preserve">that have been </w:t>
      </w:r>
      <w:r w:rsidR="00626AEB" w:rsidRPr="00651469">
        <w:t>set for</w:t>
      </w:r>
      <w:r w:rsidR="001B03A5">
        <w:t xml:space="preserve"> the </w:t>
      </w:r>
      <w:r w:rsidR="00626AEB" w:rsidRPr="00651469">
        <w:t>laboratory with the antibiotic breakpoints to be found in the most recent antibiotic definition files.</w:t>
      </w:r>
    </w:p>
    <w:p w14:paraId="75D3660A" w14:textId="77777777" w:rsidR="00626AEB" w:rsidRPr="00E52F35" w:rsidRDefault="00E52F35" w:rsidP="006B0FE9">
      <w:pPr>
        <w:pStyle w:val="BodyText"/>
      </w:pPr>
      <w:r>
        <w:t>“OK”</w:t>
      </w:r>
      <w:r w:rsidR="00626AEB" w:rsidRPr="00E52F35">
        <w:t>:</w:t>
      </w:r>
      <w:r w:rsidR="00F0532A" w:rsidRPr="00E52F35">
        <w:t xml:space="preserve">  When finish</w:t>
      </w:r>
      <w:r w:rsidR="00661A74">
        <w:t>ed</w:t>
      </w:r>
      <w:r w:rsidR="00F0532A" w:rsidRPr="00E52F35">
        <w:t xml:space="preserve"> reviewing </w:t>
      </w:r>
      <w:r w:rsidR="00626AEB" w:rsidRPr="00E52F35">
        <w:t>or modifying the ant</w:t>
      </w:r>
      <w:r>
        <w:t>ibiotic breakpoints, selecting “OK”</w:t>
      </w:r>
      <w:r w:rsidR="00626AEB" w:rsidRPr="00E52F35">
        <w:t xml:space="preserve"> will return </w:t>
      </w:r>
      <w:r w:rsidR="00661A74">
        <w:t>the user</w:t>
      </w:r>
      <w:r w:rsidR="0022560B">
        <w:t xml:space="preserve"> to the “Antibiotic c</w:t>
      </w:r>
      <w:r w:rsidR="00626AEB" w:rsidRPr="00E52F35">
        <w:t>onfiguration</w:t>
      </w:r>
      <w:r w:rsidR="0022560B">
        <w:t>”</w:t>
      </w:r>
      <w:r w:rsidR="00626AEB" w:rsidRPr="00E52F35">
        <w:t xml:space="preserve"> screen.</w:t>
      </w:r>
    </w:p>
    <w:p w14:paraId="418F0ACA" w14:textId="754E3C9C" w:rsidR="00626AEB" w:rsidRPr="00E52F35" w:rsidRDefault="00626AEB" w:rsidP="00616605">
      <w:pPr>
        <w:pStyle w:val="Comments"/>
        <w:ind w:left="0"/>
        <w:rPr>
          <w:sz w:val="20"/>
          <w:szCs w:val="20"/>
        </w:rPr>
      </w:pPr>
      <w:r w:rsidRPr="00E52F35">
        <w:rPr>
          <w:b/>
          <w:sz w:val="20"/>
          <w:szCs w:val="20"/>
        </w:rPr>
        <w:t>This example illustrates the procedure:</w:t>
      </w:r>
    </w:p>
    <w:p w14:paraId="5914F6B4" w14:textId="72DF7B46" w:rsidR="00626AEB" w:rsidRPr="00E50E26" w:rsidRDefault="00626AEB" w:rsidP="006B0FE9">
      <w:pPr>
        <w:pStyle w:val="BodyText"/>
        <w:rPr>
          <w:i/>
        </w:rPr>
      </w:pPr>
      <w:r w:rsidRPr="00E50E26">
        <w:rPr>
          <w:rStyle w:val="CommentHeader"/>
        </w:rPr>
        <w:t>Step 3</w:t>
      </w:r>
      <w:r w:rsidR="00616605">
        <w:rPr>
          <w:rStyle w:val="CommentHeader"/>
        </w:rPr>
        <w:t>A</w:t>
      </w:r>
      <w:r w:rsidRPr="00E50E26">
        <w:rPr>
          <w:i/>
        </w:rPr>
        <w:t xml:space="preserve"> </w:t>
      </w:r>
    </w:p>
    <w:p w14:paraId="57B27E80" w14:textId="266C68AB" w:rsidR="00626AEB" w:rsidRDefault="00626AEB" w:rsidP="00427040">
      <w:pPr>
        <w:pStyle w:val="BodyText"/>
      </w:pPr>
      <w:r w:rsidRPr="00E52F35">
        <w:rPr>
          <w:i/>
        </w:rPr>
        <w:t xml:space="preserve">Editing Species-Specific Antibiotic </w:t>
      </w:r>
      <w:r w:rsidRPr="00E50E26">
        <w:rPr>
          <w:i/>
        </w:rPr>
        <w:t>Breakpoints</w:t>
      </w:r>
      <w:r w:rsidR="00E50E26" w:rsidRPr="00E50E26">
        <w:rPr>
          <w:i/>
        </w:rPr>
        <w:t>:</w:t>
      </w:r>
      <w:r w:rsidR="00E52F35">
        <w:t xml:space="preserve"> A</w:t>
      </w:r>
      <w:r w:rsidRPr="00E52F35">
        <w:t xml:space="preserve"> screen similar to the one</w:t>
      </w:r>
      <w:r w:rsidR="00C761EE">
        <w:t xml:space="preserve"> b</w:t>
      </w:r>
      <w:r w:rsidRPr="00E52F35">
        <w:t>elow</w:t>
      </w:r>
      <w:r w:rsidR="00661A74">
        <w:t xml:space="preserve"> will appear</w:t>
      </w:r>
      <w:r w:rsidR="00E50E26">
        <w:t>.</w:t>
      </w:r>
      <w:r w:rsidRPr="00E52F35">
        <w:t xml:space="preserve"> In most countries, changes to these WHONET-provided reference br</w:t>
      </w:r>
      <w:r w:rsidR="00C761EE">
        <w:t>eakpoints are not required.  However,</w:t>
      </w:r>
      <w:r w:rsidRPr="00E52F35">
        <w:t xml:space="preserve"> if </w:t>
      </w:r>
      <w:r w:rsidR="00661A74">
        <w:t>the user</w:t>
      </w:r>
      <w:r w:rsidRPr="00E52F35">
        <w:t xml:space="preserve"> wish</w:t>
      </w:r>
      <w:r w:rsidR="00661A74">
        <w:t>es to</w:t>
      </w:r>
      <w:r w:rsidRPr="00E52F35">
        <w:t xml:space="preserve"> make modifications to the breakpoints, changes to the table breakpoints </w:t>
      </w:r>
      <w:r w:rsidR="006B0DB1">
        <w:t xml:space="preserve">below </w:t>
      </w:r>
      <w:r w:rsidR="00661A74">
        <w:t xml:space="preserve">may be made </w:t>
      </w:r>
      <w:r w:rsidRPr="00E52F35">
        <w:t xml:space="preserve">using the same procedure as </w:t>
      </w:r>
      <w:r w:rsidRPr="00E50E26">
        <w:t xml:space="preserve">described in </w:t>
      </w:r>
      <w:r w:rsidRPr="00E50E26">
        <w:rPr>
          <w:rStyle w:val="CommentHeader"/>
          <w:u w:val="none"/>
        </w:rPr>
        <w:t>Step 3a</w:t>
      </w:r>
      <w:r w:rsidRPr="00E50E26">
        <w:t>.</w:t>
      </w:r>
      <w:r w:rsidR="00427040">
        <w:rPr>
          <w:noProof/>
        </w:rPr>
        <w:drawing>
          <wp:inline distT="0" distB="0" distL="0" distR="0" wp14:anchorId="1C4FCD17" wp14:editId="1E6511E6">
            <wp:extent cx="5732145" cy="3329305"/>
            <wp:effectExtent l="0" t="0" r="190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2145" cy="3329305"/>
                    </a:xfrm>
                    <a:prstGeom prst="rect">
                      <a:avLst/>
                    </a:prstGeom>
                  </pic:spPr>
                </pic:pic>
              </a:graphicData>
            </a:graphic>
          </wp:inline>
        </w:drawing>
      </w:r>
    </w:p>
    <w:p w14:paraId="75ABDC6C" w14:textId="77777777" w:rsidR="00626AEB" w:rsidRDefault="00626AEB" w:rsidP="00626AEB">
      <w:pPr>
        <w:pStyle w:val="Comments"/>
        <w:ind w:left="1701" w:hanging="567"/>
      </w:pPr>
    </w:p>
    <w:p w14:paraId="5D3418F6" w14:textId="77777777" w:rsidR="00626AEB" w:rsidRPr="00E52F35" w:rsidRDefault="00626AEB" w:rsidP="00C62950">
      <w:pPr>
        <w:pStyle w:val="BodyText"/>
      </w:pPr>
      <w:r w:rsidRPr="00E52F35">
        <w:rPr>
          <w:i/>
        </w:rPr>
        <w:t>Adding Species-Specific Antibiotic Breakpoints</w:t>
      </w:r>
      <w:r w:rsidR="006B0DB1">
        <w:t>:</w:t>
      </w:r>
      <w:r w:rsidRPr="00E52F35">
        <w:t xml:space="preserve"> If </w:t>
      </w:r>
      <w:r w:rsidR="00661A74">
        <w:t>it is necessary</w:t>
      </w:r>
      <w:r w:rsidRPr="00E52F35">
        <w:t xml:space="preserve"> to enter additional species</w:t>
      </w:r>
      <w:r w:rsidR="008A1F19">
        <w:t>-specific breakpoints, select “Add”</w:t>
      </w:r>
      <w:r w:rsidRPr="00E52F35">
        <w:t xml:space="preserve">, and the screen </w:t>
      </w:r>
      <w:r w:rsidR="006B0DB1">
        <w:t xml:space="preserve">below </w:t>
      </w:r>
      <w:r w:rsidR="008A1F19">
        <w:t>will appear.</w:t>
      </w:r>
      <w:r w:rsidRPr="00E52F35">
        <w:t xml:space="preserve"> Indicate the</w:t>
      </w:r>
      <w:r w:rsidR="00C62950">
        <w:t xml:space="preserve"> </w:t>
      </w:r>
      <w:r w:rsidRPr="00E52F35">
        <w:t xml:space="preserve">organism-antibiotic combination for which </w:t>
      </w:r>
      <w:r w:rsidR="00661A74">
        <w:t>one</w:t>
      </w:r>
      <w:r w:rsidRPr="00E52F35">
        <w:t xml:space="preserve"> want</w:t>
      </w:r>
      <w:r w:rsidR="00661A74">
        <w:t>s</w:t>
      </w:r>
      <w:r w:rsidRPr="00E52F35">
        <w:t xml:space="preserve"> to define breakpoints by clicking on </w:t>
      </w:r>
      <w:r w:rsidRPr="008A1F19">
        <w:t>the</w:t>
      </w:r>
      <w:r w:rsidR="008A1F19">
        <w:t xml:space="preserve"> </w:t>
      </w:r>
      <w:r w:rsidRPr="00E52F35">
        <w:t>desired organism and the desired anti</w:t>
      </w:r>
      <w:r w:rsidR="008A1F19">
        <w:t>biotic.</w:t>
      </w:r>
      <w:r w:rsidR="00E52F35">
        <w:t xml:space="preserve"> When finished, select “</w:t>
      </w:r>
      <w:r w:rsidRPr="00E52F35">
        <w:t>OK</w:t>
      </w:r>
      <w:r w:rsidR="00E52F35">
        <w:t>”</w:t>
      </w:r>
      <w:r w:rsidRPr="00E52F35">
        <w:t xml:space="preserve"> to return to the</w:t>
      </w:r>
      <w:r w:rsidR="008A1F19">
        <w:t xml:space="preserve"> </w:t>
      </w:r>
      <w:r w:rsidRPr="00E52F35">
        <w:t>previous screen where the breakpoints</w:t>
      </w:r>
      <w:r w:rsidR="00661A74">
        <w:t xml:space="preserve"> may be entered</w:t>
      </w:r>
      <w:r w:rsidRPr="00E52F35">
        <w:t xml:space="preserve">. </w:t>
      </w:r>
    </w:p>
    <w:p w14:paraId="32AE8DC7" w14:textId="77777777" w:rsidR="00626AEB" w:rsidRDefault="00626AEB" w:rsidP="00626AEB">
      <w:pPr>
        <w:pStyle w:val="Comments"/>
      </w:pPr>
    </w:p>
    <w:p w14:paraId="6D81E129" w14:textId="65413A7E" w:rsidR="00626AEB" w:rsidRDefault="00CC5CF2" w:rsidP="00BA6192">
      <w:pPr>
        <w:pStyle w:val="Comments"/>
        <w:jc w:val="center"/>
      </w:pPr>
      <w:r>
        <w:rPr>
          <w:noProof/>
        </w:rPr>
        <w:lastRenderedPageBreak/>
        <w:drawing>
          <wp:inline distT="0" distB="0" distL="0" distR="0" wp14:anchorId="126DD39C" wp14:editId="17064031">
            <wp:extent cx="5732145" cy="3383915"/>
            <wp:effectExtent l="0" t="0" r="190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32145" cy="3383915"/>
                    </a:xfrm>
                    <a:prstGeom prst="rect">
                      <a:avLst/>
                    </a:prstGeom>
                  </pic:spPr>
                </pic:pic>
              </a:graphicData>
            </a:graphic>
          </wp:inline>
        </w:drawing>
      </w:r>
    </w:p>
    <w:p w14:paraId="2AA7C1E1" w14:textId="77777777" w:rsidR="00626AEB" w:rsidRPr="00E52F35" w:rsidRDefault="00626AEB" w:rsidP="00C62950">
      <w:pPr>
        <w:pStyle w:val="BodyText"/>
      </w:pPr>
      <w:r w:rsidRPr="00E52F35">
        <w:rPr>
          <w:i/>
        </w:rPr>
        <w:t>Deleting Species-Specific Antibiotic Breakpoints</w:t>
      </w:r>
      <w:r w:rsidR="006B0DB1">
        <w:rPr>
          <w:i/>
        </w:rPr>
        <w:t>:</w:t>
      </w:r>
      <w:r w:rsidRPr="00E52F35">
        <w:rPr>
          <w:i/>
        </w:rPr>
        <w:t xml:space="preserve"> </w:t>
      </w:r>
      <w:r w:rsidRPr="00E52F35">
        <w:t>To delete a species-specific breakpoint,</w:t>
      </w:r>
      <w:r w:rsidR="00C62950">
        <w:t xml:space="preserve"> </w:t>
      </w:r>
      <w:r w:rsidRPr="00E52F35">
        <w:t>click on the relevant row of the table, and click ‘Delete’.</w:t>
      </w:r>
    </w:p>
    <w:p w14:paraId="00C5A271" w14:textId="77777777" w:rsidR="00626AEB" w:rsidRPr="00E52F35" w:rsidRDefault="00626AEB" w:rsidP="006B0FE9">
      <w:pPr>
        <w:pStyle w:val="BodyText"/>
      </w:pPr>
      <w:r w:rsidRPr="00E52F35">
        <w:t>After completing changes</w:t>
      </w:r>
      <w:r w:rsidR="00E52F35">
        <w:t xml:space="preserve"> to the breakpoints, select “OK”</w:t>
      </w:r>
      <w:r w:rsidRPr="00E52F35">
        <w:t xml:space="preserve"> to return to the </w:t>
      </w:r>
      <w:r w:rsidR="000F3BE7">
        <w:t>“</w:t>
      </w:r>
      <w:r w:rsidRPr="00E52F35">
        <w:t>A</w:t>
      </w:r>
      <w:r w:rsidR="000F3BE7">
        <w:t>ntibiotic Breakpoint”</w:t>
      </w:r>
      <w:r w:rsidRPr="00E52F35">
        <w:t xml:space="preserve"> screen.  </w:t>
      </w:r>
      <w:r w:rsidR="00661A74">
        <w:t>S</w:t>
      </w:r>
      <w:r w:rsidR="00E52F35">
        <w:t>elect “OK”</w:t>
      </w:r>
      <w:r w:rsidRPr="00E52F35">
        <w:t xml:space="preserve"> again to return to the </w:t>
      </w:r>
      <w:r w:rsidR="000F3BE7">
        <w:t>“</w:t>
      </w:r>
      <w:r w:rsidRPr="00E52F35">
        <w:t>Antibiotic Configuration</w:t>
      </w:r>
      <w:r w:rsidR="000F3BE7">
        <w:t>”</w:t>
      </w:r>
      <w:r w:rsidRPr="00E52F35">
        <w:t xml:space="preserve"> screen.</w:t>
      </w:r>
    </w:p>
    <w:p w14:paraId="38F58A64" w14:textId="77777777" w:rsidR="00626AEB" w:rsidRPr="001132C1" w:rsidRDefault="00626AEB" w:rsidP="00C62950">
      <w:pPr>
        <w:pStyle w:val="Heading2"/>
        <w:numPr>
          <w:ilvl w:val="0"/>
          <w:numId w:val="9"/>
        </w:numPr>
        <w:ind w:left="851" w:hanging="851"/>
      </w:pPr>
      <w:bookmarkStart w:id="54" w:name="_Toc466271243"/>
      <w:bookmarkStart w:id="55" w:name="_Toc170728130"/>
      <w:bookmarkStart w:id="56" w:name="_Toc447713644"/>
      <w:bookmarkStart w:id="57" w:name="_Toc447720546"/>
      <w:bookmarkStart w:id="58" w:name="_Toc450356906"/>
      <w:bookmarkEnd w:id="41"/>
      <w:r w:rsidRPr="001132C1">
        <w:t>Locations</w:t>
      </w:r>
      <w:bookmarkEnd w:id="54"/>
      <w:bookmarkEnd w:id="55"/>
    </w:p>
    <w:p w14:paraId="3ECAE0CB" w14:textId="77777777" w:rsidR="00626AEB" w:rsidRDefault="00626AEB" w:rsidP="006B0FE9">
      <w:pPr>
        <w:pStyle w:val="BodyText"/>
        <w:rPr>
          <w:lang w:val="en-GB"/>
        </w:rPr>
      </w:pPr>
      <w:r w:rsidRPr="001132C1">
        <w:rPr>
          <w:lang w:val="en-GB"/>
        </w:rPr>
        <w:t>This option fr</w:t>
      </w:r>
      <w:r w:rsidR="00E52F35">
        <w:rPr>
          <w:lang w:val="en-GB"/>
        </w:rPr>
        <w:t>om the main screen “Laboratory configuration”</w:t>
      </w:r>
      <w:r w:rsidRPr="001132C1">
        <w:rPr>
          <w:lang w:val="en-GB"/>
        </w:rPr>
        <w:t xml:space="preserve"> is </w:t>
      </w:r>
      <w:proofErr w:type="gramStart"/>
      <w:r w:rsidRPr="001132C1">
        <w:rPr>
          <w:lang w:val="en-GB"/>
        </w:rPr>
        <w:t>optional</w:t>
      </w:r>
      <w:r>
        <w:rPr>
          <w:lang w:val="en-GB"/>
        </w:rPr>
        <w:t>, but</w:t>
      </w:r>
      <w:proofErr w:type="gramEnd"/>
      <w:r>
        <w:rPr>
          <w:lang w:val="en-GB"/>
        </w:rPr>
        <w:t xml:space="preserve"> is of value if </w:t>
      </w:r>
      <w:r w:rsidR="00661A74">
        <w:rPr>
          <w:lang w:val="en-GB"/>
        </w:rPr>
        <w:t>the user</w:t>
      </w:r>
      <w:r>
        <w:rPr>
          <w:lang w:val="en-GB"/>
        </w:rPr>
        <w:t xml:space="preserve"> would like to keep track of patient locations and medical services from which samples are taken</w:t>
      </w:r>
      <w:r w:rsidRPr="001132C1">
        <w:rPr>
          <w:lang w:val="en-GB"/>
        </w:rPr>
        <w:t xml:space="preserve">. </w:t>
      </w:r>
      <w:r>
        <w:rPr>
          <w:lang w:val="en-GB"/>
        </w:rPr>
        <w:t xml:space="preserve">A </w:t>
      </w:r>
      <w:r w:rsidRPr="001132C1">
        <w:rPr>
          <w:lang w:val="en-GB"/>
        </w:rPr>
        <w:t xml:space="preserve">detailed description </w:t>
      </w:r>
      <w:r>
        <w:rPr>
          <w:lang w:val="en-GB"/>
        </w:rPr>
        <w:t xml:space="preserve">is found </w:t>
      </w:r>
      <w:r w:rsidRPr="001132C1">
        <w:rPr>
          <w:lang w:val="en-GB"/>
        </w:rPr>
        <w:t xml:space="preserve">in the </w:t>
      </w:r>
      <w:r>
        <w:rPr>
          <w:lang w:val="en-GB"/>
        </w:rPr>
        <w:t xml:space="preserve">main WHONET </w:t>
      </w:r>
      <w:r w:rsidRPr="001132C1">
        <w:rPr>
          <w:lang w:val="en-GB"/>
        </w:rPr>
        <w:t>manual</w:t>
      </w:r>
      <w:bookmarkStart w:id="59" w:name="_Toc446237512"/>
      <w:bookmarkStart w:id="60" w:name="_Toc447713647"/>
      <w:bookmarkStart w:id="61" w:name="_Toc447720549"/>
      <w:bookmarkStart w:id="62" w:name="_Toc450356909"/>
      <w:bookmarkEnd w:id="56"/>
      <w:bookmarkEnd w:id="57"/>
      <w:bookmarkEnd w:id="58"/>
      <w:r>
        <w:rPr>
          <w:lang w:val="en-GB"/>
        </w:rPr>
        <w:t>.</w:t>
      </w:r>
    </w:p>
    <w:p w14:paraId="081E8F1C" w14:textId="77777777" w:rsidR="00626AEB" w:rsidRPr="001132C1" w:rsidRDefault="00626AEB" w:rsidP="00D55252">
      <w:pPr>
        <w:pStyle w:val="Heading2"/>
        <w:numPr>
          <w:ilvl w:val="0"/>
          <w:numId w:val="9"/>
        </w:numPr>
        <w:ind w:left="851" w:hanging="851"/>
      </w:pPr>
      <w:bookmarkStart w:id="63" w:name="_Toc466271244"/>
      <w:bookmarkStart w:id="64" w:name="_Toc170728131"/>
      <w:r w:rsidRPr="001132C1">
        <w:t xml:space="preserve">Modifying </w:t>
      </w:r>
      <w:r w:rsidR="006B0DB1">
        <w:t>d</w:t>
      </w:r>
      <w:r w:rsidRPr="001132C1">
        <w:t xml:space="preserve">ata </w:t>
      </w:r>
      <w:r w:rsidR="006B0DB1">
        <w:t>f</w:t>
      </w:r>
      <w:r w:rsidRPr="001132C1">
        <w:t xml:space="preserve">ield </w:t>
      </w:r>
      <w:r w:rsidR="006B0DB1">
        <w:t>c</w:t>
      </w:r>
      <w:r w:rsidRPr="001132C1">
        <w:t>onfiguration</w:t>
      </w:r>
      <w:bookmarkEnd w:id="63"/>
      <w:bookmarkEnd w:id="64"/>
      <w:r w:rsidRPr="001132C1">
        <w:t xml:space="preserve"> </w:t>
      </w:r>
      <w:bookmarkEnd w:id="59"/>
      <w:bookmarkEnd w:id="60"/>
      <w:bookmarkEnd w:id="61"/>
      <w:bookmarkEnd w:id="62"/>
    </w:p>
    <w:p w14:paraId="1764E3F7" w14:textId="143971F0" w:rsidR="00626AEB" w:rsidRPr="00814E53" w:rsidRDefault="00E52F35" w:rsidP="00814E53">
      <w:pPr>
        <w:pStyle w:val="BodyText"/>
        <w:rPr>
          <w:lang w:val="en-GB"/>
        </w:rPr>
      </w:pPr>
      <w:r>
        <w:rPr>
          <w:lang w:val="en-GB"/>
        </w:rPr>
        <w:t>A set of “standard”</w:t>
      </w:r>
      <w:r w:rsidR="00626AEB" w:rsidRPr="001132C1">
        <w:rPr>
          <w:lang w:val="en-GB"/>
        </w:rPr>
        <w:t xml:space="preserve"> data fields is defined automatically by WHONET</w:t>
      </w:r>
      <w:r>
        <w:rPr>
          <w:lang w:val="en-GB"/>
        </w:rPr>
        <w:t>. “Standard”</w:t>
      </w:r>
      <w:r w:rsidR="00626AEB" w:rsidRPr="001132C1">
        <w:rPr>
          <w:lang w:val="en-GB"/>
        </w:rPr>
        <w:t xml:space="preserve"> fields include routine information </w:t>
      </w:r>
      <w:r w:rsidR="009F3191" w:rsidRPr="001132C1">
        <w:rPr>
          <w:lang w:val="en-GB"/>
        </w:rPr>
        <w:t xml:space="preserve">such </w:t>
      </w:r>
      <w:r w:rsidR="00626AEB" w:rsidRPr="001132C1">
        <w:rPr>
          <w:lang w:val="en-GB"/>
        </w:rPr>
        <w:t xml:space="preserve">as: </w:t>
      </w:r>
      <w:r w:rsidR="00626AEB">
        <w:rPr>
          <w:lang w:val="en-GB"/>
        </w:rPr>
        <w:t xml:space="preserve">unique </w:t>
      </w:r>
      <w:r w:rsidR="00626AEB" w:rsidRPr="001132C1">
        <w:rPr>
          <w:lang w:val="en-GB"/>
        </w:rPr>
        <w:t xml:space="preserve">patient ID, </w:t>
      </w:r>
      <w:r w:rsidR="00626AEB">
        <w:rPr>
          <w:lang w:val="en-GB"/>
        </w:rPr>
        <w:t>location type</w:t>
      </w:r>
      <w:r w:rsidR="00626AEB" w:rsidRPr="001132C1">
        <w:rPr>
          <w:lang w:val="en-GB"/>
        </w:rPr>
        <w:t>, specimen date, specimen type, organism</w:t>
      </w:r>
      <w:r w:rsidR="009F3191">
        <w:rPr>
          <w:lang w:val="en-GB"/>
        </w:rPr>
        <w:t>/pathogen</w:t>
      </w:r>
      <w:r w:rsidR="00626AEB" w:rsidRPr="001132C1">
        <w:rPr>
          <w:lang w:val="en-GB"/>
        </w:rPr>
        <w:t>, antibiotic</w:t>
      </w:r>
      <w:r w:rsidR="00626AEB">
        <w:rPr>
          <w:lang w:val="en-GB"/>
        </w:rPr>
        <w:t xml:space="preserve"> panel</w:t>
      </w:r>
      <w:r w:rsidR="00626AEB" w:rsidRPr="001132C1">
        <w:rPr>
          <w:lang w:val="en-GB"/>
        </w:rPr>
        <w:t xml:space="preserve">, </w:t>
      </w:r>
      <w:r w:rsidR="00626AEB" w:rsidRPr="00E52F35">
        <w:rPr>
          <w:lang w:val="en-GB"/>
        </w:rPr>
        <w:t>etc.</w:t>
      </w:r>
      <w:r w:rsidR="00626AEB" w:rsidRPr="001132C1">
        <w:rPr>
          <w:lang w:val="en-GB"/>
        </w:rPr>
        <w:t xml:space="preserve"> To combine </w:t>
      </w:r>
      <w:r w:rsidR="00626AEB">
        <w:rPr>
          <w:lang w:val="en-GB"/>
        </w:rPr>
        <w:t>additional</w:t>
      </w:r>
      <w:r w:rsidR="00626AEB" w:rsidRPr="001132C1">
        <w:rPr>
          <w:lang w:val="en-GB"/>
        </w:rPr>
        <w:t xml:space="preserve"> survei</w:t>
      </w:r>
      <w:r w:rsidR="00626AEB">
        <w:rPr>
          <w:lang w:val="en-GB"/>
        </w:rPr>
        <w:t>l</w:t>
      </w:r>
      <w:r w:rsidR="00626AEB" w:rsidRPr="001132C1">
        <w:rPr>
          <w:lang w:val="en-GB"/>
        </w:rPr>
        <w:t xml:space="preserve">lance activities with the </w:t>
      </w:r>
      <w:r w:rsidR="008C60CE">
        <w:rPr>
          <w:lang w:val="en-GB"/>
        </w:rPr>
        <w:t>EGASP</w:t>
      </w:r>
      <w:r w:rsidR="00626AEB">
        <w:rPr>
          <w:lang w:val="en-GB"/>
        </w:rPr>
        <w:t xml:space="preserve"> </w:t>
      </w:r>
      <w:r w:rsidR="00626AEB" w:rsidRPr="001132C1">
        <w:rPr>
          <w:lang w:val="en-GB"/>
        </w:rPr>
        <w:t xml:space="preserve">data collection, </w:t>
      </w:r>
      <w:r w:rsidR="00516705">
        <w:rPr>
          <w:lang w:val="en-GB"/>
        </w:rPr>
        <w:t>the user</w:t>
      </w:r>
      <w:r w:rsidR="00626AEB" w:rsidRPr="001132C1">
        <w:rPr>
          <w:lang w:val="en-GB"/>
        </w:rPr>
        <w:t xml:space="preserve"> may</w:t>
      </w:r>
      <w:r>
        <w:rPr>
          <w:lang w:val="en-GB"/>
        </w:rPr>
        <w:t xml:space="preserve"> want to add some “additional”</w:t>
      </w:r>
      <w:r w:rsidR="00626AEB" w:rsidRPr="001132C1">
        <w:rPr>
          <w:lang w:val="en-GB"/>
        </w:rPr>
        <w:t xml:space="preserve"> data fields</w:t>
      </w:r>
      <w:r w:rsidR="009817C3">
        <w:rPr>
          <w:lang w:val="en-GB"/>
        </w:rPr>
        <w:t>:</w:t>
      </w:r>
      <w:r w:rsidR="00626AEB" w:rsidRPr="001132C1">
        <w:rPr>
          <w:lang w:val="en-GB"/>
        </w:rPr>
        <w:t xml:space="preserve"> see instructions below.</w:t>
      </w:r>
    </w:p>
    <w:p w14:paraId="148A3674" w14:textId="77777777" w:rsidR="00626AEB" w:rsidRPr="00814E53" w:rsidRDefault="00626AEB" w:rsidP="00814E53">
      <w:pPr>
        <w:pStyle w:val="Comments"/>
        <w:ind w:left="0"/>
        <w:rPr>
          <w:rFonts w:asciiTheme="minorHAnsi" w:hAnsiTheme="minorHAnsi" w:cstheme="minorHAnsi"/>
          <w:i/>
          <w:iCs/>
          <w:smallCaps/>
          <w:sz w:val="22"/>
          <w:szCs w:val="22"/>
          <w:u w:val="single"/>
        </w:rPr>
      </w:pPr>
      <w:r w:rsidRPr="00DA1F0A">
        <w:rPr>
          <w:rStyle w:val="CommentHeader"/>
          <w:rFonts w:asciiTheme="minorHAnsi" w:hAnsiTheme="minorHAnsi" w:cstheme="minorHAnsi"/>
          <w:sz w:val="22"/>
          <w:szCs w:val="22"/>
        </w:rPr>
        <w:t>Instructions</w:t>
      </w:r>
    </w:p>
    <w:p w14:paraId="1557AAB4" w14:textId="2DB435E8" w:rsidR="00626AEB" w:rsidRPr="00E52F35" w:rsidRDefault="00626AEB" w:rsidP="006B0FE9">
      <w:pPr>
        <w:pStyle w:val="BodyText"/>
        <w:rPr>
          <w:rStyle w:val="CommentHeader"/>
          <w:sz w:val="20"/>
          <w:szCs w:val="20"/>
        </w:rPr>
      </w:pPr>
      <w:r w:rsidRPr="00DA1F0A">
        <w:rPr>
          <w:rStyle w:val="CommentHeader"/>
          <w:rFonts w:cstheme="minorHAnsi"/>
        </w:rPr>
        <w:t>Step 1</w:t>
      </w:r>
      <w:r w:rsidR="009817C3" w:rsidRPr="00DA1F0A">
        <w:rPr>
          <w:rStyle w:val="CommentHeader"/>
          <w:rFonts w:cstheme="minorHAnsi"/>
        </w:rPr>
        <w:t>:</w:t>
      </w:r>
      <w:r w:rsidRPr="00DA1F0A">
        <w:rPr>
          <w:rFonts w:cstheme="minorHAnsi"/>
        </w:rPr>
        <w:t xml:space="preserve"> </w:t>
      </w:r>
      <w:r w:rsidR="001177DA" w:rsidRPr="00DA1F0A">
        <w:rPr>
          <w:rFonts w:cstheme="minorHAnsi"/>
        </w:rPr>
        <w:tab/>
      </w:r>
      <w:r w:rsidR="000F3BE7" w:rsidRPr="00DA1F0A">
        <w:rPr>
          <w:rFonts w:cstheme="minorHAnsi"/>
        </w:rPr>
        <w:t>From</w:t>
      </w:r>
      <w:r w:rsidR="000F3BE7">
        <w:t xml:space="preserve"> the main “Laboratory c</w:t>
      </w:r>
      <w:r w:rsidRPr="00E52F35">
        <w:t>onfiguration</w:t>
      </w:r>
      <w:r w:rsidR="000F3BE7">
        <w:t>”</w:t>
      </w:r>
      <w:r w:rsidRPr="00E52F35">
        <w:t xml:space="preserve"> screen</w:t>
      </w:r>
      <w:r w:rsidRPr="008A1F19">
        <w:t>, sel</w:t>
      </w:r>
      <w:r w:rsidR="00E52F35" w:rsidRPr="008A1F19">
        <w:t xml:space="preserve">ect </w:t>
      </w:r>
      <w:r w:rsidR="008A1F19" w:rsidRPr="008A1F19">
        <w:t>“Data f</w:t>
      </w:r>
      <w:r w:rsidR="00E52F35" w:rsidRPr="008A1F19">
        <w:t>ields” and click</w:t>
      </w:r>
      <w:r w:rsidR="00E52F35">
        <w:t xml:space="preserve"> on “Modify list”</w:t>
      </w:r>
      <w:r w:rsidRPr="00E52F35">
        <w:t xml:space="preserve">. </w:t>
      </w:r>
      <w:r w:rsidR="00516705">
        <w:t>A</w:t>
      </w:r>
      <w:r w:rsidRPr="00E52F35">
        <w:t xml:space="preserve"> screen similar to the one below</w:t>
      </w:r>
      <w:r w:rsidR="00516705">
        <w:t xml:space="preserve"> should appear</w:t>
      </w:r>
      <w:r w:rsidRPr="00E52F35">
        <w:t xml:space="preserve">. The lists of WHONET data categories (clinical, infection control, </w:t>
      </w:r>
      <w:r w:rsidRPr="008A1F19">
        <w:t>etc.)</w:t>
      </w:r>
      <w:r w:rsidRPr="00E52F35">
        <w:t xml:space="preserve"> and data fields (diagnosis, admission date, </w:t>
      </w:r>
      <w:r w:rsidRPr="008A1F19">
        <w:t>etc.)</w:t>
      </w:r>
      <w:r w:rsidRPr="00E52F35">
        <w:t xml:space="preserve"> from which </w:t>
      </w:r>
      <w:r w:rsidR="00516705">
        <w:t>the user</w:t>
      </w:r>
      <w:r w:rsidRPr="00E52F35">
        <w:t xml:space="preserve"> may select appear</w:t>
      </w:r>
      <w:r w:rsidR="00516705">
        <w:t xml:space="preserve"> on</w:t>
      </w:r>
      <w:r w:rsidRPr="00E52F35">
        <w:t xml:space="preserve"> the left.  If </w:t>
      </w:r>
      <w:r w:rsidR="00516705">
        <w:t>the user</w:t>
      </w:r>
      <w:r w:rsidRPr="00E52F35">
        <w:t xml:space="preserve"> select</w:t>
      </w:r>
      <w:r w:rsidR="00516705">
        <w:t>s</w:t>
      </w:r>
      <w:r w:rsidRPr="00E52F35">
        <w:t xml:space="preserve"> “</w:t>
      </w:r>
      <w:r w:rsidR="00DE502C">
        <w:t>EGASP</w:t>
      </w:r>
      <w:r w:rsidRPr="00E52F35">
        <w:t>”, this will show th</w:t>
      </w:r>
      <w:r w:rsidR="00E52F35">
        <w:t xml:space="preserve">e </w:t>
      </w:r>
      <w:r w:rsidR="00DE502C">
        <w:t>EGASP</w:t>
      </w:r>
      <w:r w:rsidR="00E52F35">
        <w:t xml:space="preserve"> data fields in the box “Data fields”</w:t>
      </w:r>
      <w:r w:rsidRPr="00E52F35">
        <w:t xml:space="preserve">. Select all and click the right arrow. They will be added to the list of data fields that appear to the right (also containing the standard data fields). </w:t>
      </w:r>
    </w:p>
    <w:p w14:paraId="5F3C7575" w14:textId="77777777" w:rsidR="00626AEB" w:rsidRDefault="00626AEB" w:rsidP="00626AEB">
      <w:pPr>
        <w:pStyle w:val="Comments"/>
        <w:ind w:left="1134" w:hanging="567"/>
      </w:pPr>
    </w:p>
    <w:p w14:paraId="2D7300F1" w14:textId="1EAD2221" w:rsidR="00626AEB" w:rsidRDefault="007F0876" w:rsidP="00626AEB">
      <w:pPr>
        <w:pStyle w:val="Comments"/>
        <w:ind w:left="1134" w:hanging="567"/>
        <w:jc w:val="center"/>
      </w:pPr>
      <w:r>
        <w:rPr>
          <w:noProof/>
        </w:rPr>
        <w:lastRenderedPageBreak/>
        <w:drawing>
          <wp:inline distT="0" distB="0" distL="0" distR="0" wp14:anchorId="73031E55" wp14:editId="64275356">
            <wp:extent cx="5732145" cy="4692650"/>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2145" cy="4692650"/>
                    </a:xfrm>
                    <a:prstGeom prst="rect">
                      <a:avLst/>
                    </a:prstGeom>
                  </pic:spPr>
                </pic:pic>
              </a:graphicData>
            </a:graphic>
          </wp:inline>
        </w:drawing>
      </w:r>
    </w:p>
    <w:p w14:paraId="2FF7E58F" w14:textId="77777777" w:rsidR="00626AEB" w:rsidRPr="00E52F35" w:rsidRDefault="00626AEB" w:rsidP="00626AEB">
      <w:pPr>
        <w:pStyle w:val="Comments"/>
        <w:ind w:left="0"/>
        <w:rPr>
          <w:sz w:val="20"/>
          <w:szCs w:val="20"/>
        </w:rPr>
      </w:pPr>
    </w:p>
    <w:p w14:paraId="542E67C7" w14:textId="77777777" w:rsidR="00626AEB" w:rsidRPr="00DA1F0A" w:rsidRDefault="00626AEB" w:rsidP="006B0FE9">
      <w:pPr>
        <w:pStyle w:val="BodyText"/>
      </w:pPr>
      <w:r w:rsidRPr="00DA1F0A">
        <w:rPr>
          <w:rStyle w:val="CommentHeader"/>
        </w:rPr>
        <w:t>Step 2</w:t>
      </w:r>
      <w:r w:rsidR="009817C3" w:rsidRPr="00DA1F0A">
        <w:rPr>
          <w:rStyle w:val="CommentHeader"/>
        </w:rPr>
        <w:t>:</w:t>
      </w:r>
      <w:r w:rsidRPr="00DA1F0A">
        <w:t xml:space="preserve"> </w:t>
      </w:r>
      <w:r w:rsidR="001177DA" w:rsidRPr="00DA1F0A">
        <w:tab/>
      </w:r>
      <w:r w:rsidRPr="00DA1F0A">
        <w:t xml:space="preserve">If </w:t>
      </w:r>
      <w:r w:rsidR="00516705" w:rsidRPr="00DA1F0A">
        <w:t>the user</w:t>
      </w:r>
      <w:r w:rsidRPr="00DA1F0A">
        <w:t xml:space="preserve"> would like to include more additional fields in </w:t>
      </w:r>
      <w:r w:rsidR="00516705" w:rsidRPr="00DA1F0A">
        <w:t>their</w:t>
      </w:r>
      <w:r w:rsidRPr="00DA1F0A">
        <w:t xml:space="preserve"> data files, then </w:t>
      </w:r>
      <w:r w:rsidR="00516705" w:rsidRPr="00DA1F0A">
        <w:t>they</w:t>
      </w:r>
      <w:r w:rsidRPr="00DA1F0A">
        <w:t xml:space="preserve"> may </w:t>
      </w:r>
      <w:r w:rsidR="00516705" w:rsidRPr="00DA1F0A">
        <w:t xml:space="preserve">be </w:t>
      </w:r>
      <w:r w:rsidRPr="00DA1F0A">
        <w:t>select</w:t>
      </w:r>
      <w:r w:rsidR="00516705" w:rsidRPr="00DA1F0A">
        <w:t>ed</w:t>
      </w:r>
      <w:r w:rsidRPr="00DA1F0A">
        <w:t xml:space="preserve"> here a</w:t>
      </w:r>
      <w:r w:rsidR="00516705" w:rsidRPr="00DA1F0A">
        <w:t>lso</w:t>
      </w:r>
      <w:r w:rsidRPr="00DA1F0A">
        <w:t>.</w:t>
      </w:r>
    </w:p>
    <w:p w14:paraId="13502C6A" w14:textId="4B865939" w:rsidR="00626AEB" w:rsidRPr="00DA1F0A" w:rsidRDefault="00626AEB" w:rsidP="006B0FE9">
      <w:pPr>
        <w:pStyle w:val="BodyText"/>
      </w:pPr>
      <w:r w:rsidRPr="00DA1F0A">
        <w:t xml:space="preserve">Note: </w:t>
      </w:r>
      <w:r w:rsidR="000F3BE7" w:rsidRPr="00DA1F0A">
        <w:tab/>
      </w:r>
      <w:r w:rsidRPr="00DA1F0A">
        <w:t xml:space="preserve">By default, WHONET will check the validity of </w:t>
      </w:r>
      <w:r w:rsidR="00E34978">
        <w:t>EGASP</w:t>
      </w:r>
      <w:r w:rsidRPr="00DA1F0A">
        <w:t xml:space="preserve"> codes entered during data entry.</w:t>
      </w:r>
    </w:p>
    <w:p w14:paraId="05C4A04C" w14:textId="77777777" w:rsidR="00626AEB" w:rsidRPr="00DA1F0A" w:rsidRDefault="00626AEB" w:rsidP="006B0FE9">
      <w:pPr>
        <w:pStyle w:val="BodyText"/>
      </w:pPr>
      <w:r w:rsidRPr="00DA1F0A">
        <w:rPr>
          <w:rStyle w:val="CommentHeader"/>
        </w:rPr>
        <w:t xml:space="preserve">Step </w:t>
      </w:r>
      <w:r w:rsidRPr="00DA1F0A">
        <w:rPr>
          <w:rStyle w:val="CommentHeader"/>
          <w:u w:val="none"/>
        </w:rPr>
        <w:t>3</w:t>
      </w:r>
      <w:r w:rsidR="009817C3" w:rsidRPr="00DA1F0A">
        <w:rPr>
          <w:rStyle w:val="CommentHeader"/>
          <w:u w:val="none"/>
        </w:rPr>
        <w:t>:</w:t>
      </w:r>
      <w:r w:rsidRPr="00DA1F0A">
        <w:rPr>
          <w:rStyle w:val="CommentHeader"/>
          <w:u w:val="none"/>
        </w:rPr>
        <w:t xml:space="preserve"> </w:t>
      </w:r>
      <w:r w:rsidR="001177DA" w:rsidRPr="00DA1F0A">
        <w:rPr>
          <w:rStyle w:val="CommentHeader"/>
          <w:i w:val="0"/>
          <w:u w:val="none"/>
        </w:rPr>
        <w:tab/>
      </w:r>
      <w:r w:rsidRPr="00DA1F0A">
        <w:t>Leave this screen</w:t>
      </w:r>
      <w:r w:rsidR="00E52F35" w:rsidRPr="00DA1F0A">
        <w:t xml:space="preserve"> by clicking on “OK”</w:t>
      </w:r>
      <w:r w:rsidRPr="00DA1F0A">
        <w:t xml:space="preserve"> twice</w:t>
      </w:r>
      <w:r w:rsidR="00E52F35" w:rsidRPr="00DA1F0A">
        <w:t xml:space="preserve"> and click on “Save”</w:t>
      </w:r>
      <w:r w:rsidRPr="00DA1F0A">
        <w:t xml:space="preserve"> to save this lab</w:t>
      </w:r>
      <w:r w:rsidR="00516705" w:rsidRPr="00DA1F0A">
        <w:t>oratory</w:t>
      </w:r>
      <w:r w:rsidRPr="00DA1F0A">
        <w:t xml:space="preserve"> configuration.</w:t>
      </w:r>
    </w:p>
    <w:p w14:paraId="63464984" w14:textId="77777777" w:rsidR="00626AEB" w:rsidRDefault="00626AEB" w:rsidP="00626AEB">
      <w:pPr>
        <w:pStyle w:val="Comments"/>
        <w:ind w:left="1134" w:hanging="567"/>
      </w:pPr>
    </w:p>
    <w:p w14:paraId="1A7F38DA" w14:textId="77777777" w:rsidR="00F9129D" w:rsidRDefault="00F9129D">
      <w:pPr>
        <w:rPr>
          <w:sz w:val="22"/>
          <w:lang w:val="en-GB"/>
        </w:rPr>
      </w:pPr>
      <w:r>
        <w:rPr>
          <w:sz w:val="22"/>
          <w:lang w:val="en-GB"/>
        </w:rPr>
        <w:br w:type="page"/>
      </w:r>
    </w:p>
    <w:p w14:paraId="1DB4CC41" w14:textId="77777777" w:rsidR="00F9129D" w:rsidRPr="00D55252" w:rsidRDefault="00F9129D" w:rsidP="00DF526D">
      <w:pPr>
        <w:pStyle w:val="Heading1"/>
        <w:numPr>
          <w:ilvl w:val="0"/>
          <w:numId w:val="0"/>
        </w:numPr>
        <w:rPr>
          <w:lang w:val="en-US"/>
        </w:rPr>
      </w:pPr>
      <w:bookmarkStart w:id="65" w:name="_Toc466271245"/>
      <w:bookmarkStart w:id="66" w:name="_Toc170728132"/>
      <w:r w:rsidRPr="00D55252">
        <w:lastRenderedPageBreak/>
        <w:t>Annex</w:t>
      </w:r>
      <w:r w:rsidRPr="00D55252">
        <w:rPr>
          <w:lang w:val="en-US"/>
        </w:rPr>
        <w:t xml:space="preserve"> 2 – BacLink introduction</w:t>
      </w:r>
      <w:bookmarkEnd w:id="65"/>
      <w:bookmarkEnd w:id="66"/>
    </w:p>
    <w:p w14:paraId="3C0C90E9" w14:textId="77777777" w:rsidR="00FA088A" w:rsidRDefault="00FA088A" w:rsidP="006B0FE9">
      <w:pPr>
        <w:pStyle w:val="BodyText"/>
      </w:pPr>
      <w:r>
        <w:t>Many laboratories around the world already have well-established computer databases that meet the day-to-day needs of clinical reporting, specimen processing and long-term data storage.  Unfortunately</w:t>
      </w:r>
      <w:r w:rsidR="009817C3">
        <w:t>,</w:t>
      </w:r>
      <w:r>
        <w:t xml:space="preserve"> most of these systems have limited capacity for sophisticated data analysis. It is in these areas that WHONET is a valuable supplement to existing systems.</w:t>
      </w:r>
    </w:p>
    <w:p w14:paraId="4920166E" w14:textId="77777777" w:rsidR="00FA088A" w:rsidRDefault="00FA088A" w:rsidP="006B0FE9">
      <w:pPr>
        <w:pStyle w:val="BodyText"/>
      </w:pPr>
      <w:r>
        <w:t>Th</w:t>
      </w:r>
      <w:r w:rsidR="009817C3">
        <w:t>e</w:t>
      </w:r>
      <w:r>
        <w:t xml:space="preserve"> purpose of the BacLink software is the conversion and standardization of microbiolog</w:t>
      </w:r>
      <w:r w:rsidR="009817C3">
        <w:t>ical</w:t>
      </w:r>
      <w:r>
        <w:t xml:space="preserve"> data from existing systems into WHONET. </w:t>
      </w:r>
      <w:r w:rsidR="00516705">
        <w:t>Data</w:t>
      </w:r>
      <w:r>
        <w:t xml:space="preserve"> can </w:t>
      </w:r>
      <w:r w:rsidR="00C761EE">
        <w:t xml:space="preserve">be </w:t>
      </w:r>
      <w:r>
        <w:t>convert</w:t>
      </w:r>
      <w:r w:rsidR="00516705">
        <w:t>ed</w:t>
      </w:r>
      <w:r>
        <w:t xml:space="preserve"> on a weekly, monthly, </w:t>
      </w:r>
      <w:r w:rsidRPr="008A1F19">
        <w:t>or ad hoc basis</w:t>
      </w:r>
      <w:r w:rsidR="00516705">
        <w:t>: I</w:t>
      </w:r>
      <w:r w:rsidRPr="00516705">
        <w:t>n a number of institutions, it has been possible to automate and schedule the entire process.</w:t>
      </w:r>
      <w:r>
        <w:t xml:space="preserve"> </w:t>
      </w:r>
    </w:p>
    <w:p w14:paraId="6F09675B" w14:textId="77777777" w:rsidR="008A1F19" w:rsidRDefault="00617570" w:rsidP="006B0FE9">
      <w:pPr>
        <w:pStyle w:val="BodyText"/>
      </w:pPr>
      <w:r>
        <w:t xml:space="preserve">In using BacLink to </w:t>
      </w:r>
      <w:r w:rsidR="00FA088A">
        <w:t>conver</w:t>
      </w:r>
      <w:r>
        <w:t>t</w:t>
      </w:r>
      <w:r w:rsidR="00FA088A">
        <w:t xml:space="preserve"> data to </w:t>
      </w:r>
      <w:r>
        <w:t xml:space="preserve">the </w:t>
      </w:r>
      <w:r w:rsidR="00FA088A">
        <w:t>WHONET</w:t>
      </w:r>
      <w:r>
        <w:t xml:space="preserve"> data format</w:t>
      </w:r>
      <w:r w:rsidR="00FA088A">
        <w:t xml:space="preserve">, laboratories have the benefits of: </w:t>
      </w:r>
    </w:p>
    <w:p w14:paraId="56CEEF64" w14:textId="77777777" w:rsidR="009817C3" w:rsidRDefault="00FA088A" w:rsidP="006B0FE9">
      <w:pPr>
        <w:pStyle w:val="Bodytextbullet"/>
      </w:pPr>
      <w:r>
        <w:t xml:space="preserve">flexible data analysis capabilities; and </w:t>
      </w:r>
    </w:p>
    <w:p w14:paraId="5BC2A75E" w14:textId="77777777" w:rsidR="00FA088A" w:rsidRDefault="00FA088A" w:rsidP="006B0FE9">
      <w:pPr>
        <w:pStyle w:val="Bodytextbullet"/>
      </w:pPr>
      <w:r>
        <w:t xml:space="preserve">the ability to share </w:t>
      </w:r>
      <w:r w:rsidR="005507D1">
        <w:t xml:space="preserve">standardized </w:t>
      </w:r>
      <w:r>
        <w:t>data with other laboratories, for example in a national</w:t>
      </w:r>
      <w:r w:rsidR="006B0FE9">
        <w:t xml:space="preserve"> </w:t>
      </w:r>
      <w:r>
        <w:t xml:space="preserve">surveillance network.  </w:t>
      </w:r>
    </w:p>
    <w:p w14:paraId="559BAB65" w14:textId="77777777" w:rsidR="000E29E9" w:rsidRDefault="000E29E9" w:rsidP="006B0FE9">
      <w:pPr>
        <w:pStyle w:val="BodyText"/>
      </w:pPr>
      <w:r>
        <w:t xml:space="preserve">BacLink can import data with </w:t>
      </w:r>
      <w:r w:rsidR="009817C3">
        <w:t xml:space="preserve">a </w:t>
      </w:r>
      <w:r>
        <w:t>variety of data structure</w:t>
      </w:r>
      <w:r w:rsidR="00515690">
        <w:t>s</w:t>
      </w:r>
      <w:r>
        <w:t xml:space="preserve"> includ</w:t>
      </w:r>
      <w:r w:rsidR="009817C3">
        <w:t>ing</w:t>
      </w:r>
      <w:r>
        <w:t>:</w:t>
      </w:r>
    </w:p>
    <w:p w14:paraId="500B3142" w14:textId="709E42DA" w:rsidR="000E29E9" w:rsidRDefault="000E29E9" w:rsidP="006B0FE9">
      <w:pPr>
        <w:pStyle w:val="Bodytextbullet"/>
      </w:pPr>
      <w:r>
        <w:t xml:space="preserve">Simple data structures: delimited text </w:t>
      </w:r>
      <w:r w:rsidR="00E52071">
        <w:t>files</w:t>
      </w:r>
      <w:r w:rsidR="00BE3376">
        <w:t xml:space="preserve">, </w:t>
      </w:r>
      <w:r>
        <w:t>Microsoft Exce</w:t>
      </w:r>
      <w:r w:rsidR="00E52071">
        <w:t>l</w:t>
      </w:r>
      <w:r>
        <w:t>, Micr</w:t>
      </w:r>
      <w:r w:rsidR="00E52071">
        <w:t xml:space="preserve">osoft </w:t>
      </w:r>
      <w:r w:rsidR="009F3191">
        <w:t>Access, EpiInfo, or dBASE files;</w:t>
      </w:r>
    </w:p>
    <w:p w14:paraId="586D9C93" w14:textId="77777777" w:rsidR="000E29E9" w:rsidRDefault="000E29E9" w:rsidP="006B0FE9">
      <w:pPr>
        <w:pStyle w:val="Bodytextbullet"/>
      </w:pPr>
      <w:r>
        <w:t>Commercial organism and antimicrobial susceptibility test instruments</w:t>
      </w:r>
      <w:r w:rsidR="00E52071">
        <w:t>, such as Vitek, Microscan, or Phoenix</w:t>
      </w:r>
      <w:r w:rsidR="009F3191">
        <w:t>;</w:t>
      </w:r>
      <w:r w:rsidR="009817C3">
        <w:t xml:space="preserve"> and</w:t>
      </w:r>
    </w:p>
    <w:p w14:paraId="001C86F4" w14:textId="77777777" w:rsidR="00E52071" w:rsidRDefault="00E52071" w:rsidP="006B0FE9">
      <w:pPr>
        <w:pStyle w:val="Bodytextbullet"/>
      </w:pPr>
      <w:r>
        <w:t xml:space="preserve">Laboratory information </w:t>
      </w:r>
      <w:r w:rsidR="009F3191">
        <w:t>systems (LIS):</w:t>
      </w:r>
      <w:r w:rsidR="00515690">
        <w:t xml:space="preserve">  These may be commercial systems, such as Cerner or Meditech, or developed in-house by the facility IT staff.</w:t>
      </w:r>
      <w:r w:rsidR="00417B3A">
        <w:t xml:space="preserve">  Most such systems have the ability to create simple delimited text files that can be imported by BacLink.</w:t>
      </w:r>
    </w:p>
    <w:p w14:paraId="6171E00F" w14:textId="77777777" w:rsidR="00E918FC" w:rsidRPr="00DA1F0A" w:rsidRDefault="00E918FC" w:rsidP="009227A5">
      <w:pPr>
        <w:pStyle w:val="BodyText"/>
        <w:rPr>
          <w:rFonts w:cstheme="minorHAnsi"/>
        </w:rPr>
      </w:pPr>
      <w:r>
        <w:t xml:space="preserve">Further details on the steps for configuring BacLink and data capture are provided in a series of BacLink tutorials beginning with </w:t>
      </w:r>
      <w:r w:rsidRPr="00E918FC">
        <w:rPr>
          <w:i/>
        </w:rPr>
        <w:t>BacLink 1 – Getting started</w:t>
      </w:r>
      <w:r w:rsidR="00891F6F">
        <w:t xml:space="preserve"> that</w:t>
      </w:r>
      <w:r w:rsidR="009F3191">
        <w:t xml:space="preserve"> can be downloaded from the </w:t>
      </w:r>
      <w:r w:rsidR="009F3191" w:rsidRPr="00DA1F0A">
        <w:rPr>
          <w:rFonts w:cstheme="minorHAnsi"/>
          <w:lang w:val="en-GB"/>
        </w:rPr>
        <w:t>WHONET Home Page,</w:t>
      </w:r>
      <w:r w:rsidR="008A1F19" w:rsidRPr="00DA1F0A">
        <w:rPr>
          <w:rFonts w:cstheme="minorHAnsi"/>
          <w:lang w:val="en-GB"/>
        </w:rPr>
        <w:t xml:space="preserve"> </w:t>
      </w:r>
      <w:r w:rsidR="008A1F19" w:rsidRPr="00DA1F0A">
        <w:rPr>
          <w:rStyle w:val="Hyperlink"/>
          <w:rFonts w:cstheme="minorHAnsi"/>
          <w:lang w:val="en-GB"/>
        </w:rPr>
        <w:t>http://www.whonet.org/documentation.html</w:t>
      </w:r>
      <w:r w:rsidR="009F3191" w:rsidRPr="00DA1F0A">
        <w:rPr>
          <w:rStyle w:val="Hyperlink"/>
          <w:rFonts w:cstheme="minorHAnsi"/>
          <w:lang w:val="en-GB"/>
        </w:rPr>
        <w:t>.</w:t>
      </w:r>
    </w:p>
    <w:sectPr w:rsidR="00E918FC" w:rsidRPr="00DA1F0A" w:rsidSect="00E40FCC">
      <w:footerReference w:type="default" r:id="rId40"/>
      <w:pgSz w:w="11907" w:h="16840" w:code="9"/>
      <w:pgMar w:top="1440" w:right="1440" w:bottom="1440" w:left="1440" w:header="708" w:footer="708" w:gutter="0"/>
      <w:pgNumType w:start="1"/>
      <w:cols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5948" w14:textId="77777777" w:rsidR="0047577E" w:rsidRDefault="0047577E">
      <w:r>
        <w:separator/>
      </w:r>
    </w:p>
  </w:endnote>
  <w:endnote w:type="continuationSeparator" w:id="0">
    <w:p w14:paraId="48BBA2C8" w14:textId="77777777" w:rsidR="0047577E" w:rsidRDefault="0047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432F" w14:textId="77777777" w:rsidR="006D760F" w:rsidRDefault="006D760F" w:rsidP="00E40FCC">
    <w:pPr>
      <w:pStyle w:val="Footer"/>
      <w:jc w:val="center"/>
    </w:pPr>
  </w:p>
  <w:p w14:paraId="761E16AC" w14:textId="77777777" w:rsidR="006D760F" w:rsidRDefault="006D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04635"/>
      <w:docPartObj>
        <w:docPartGallery w:val="Page Numbers (Bottom of Page)"/>
        <w:docPartUnique/>
      </w:docPartObj>
    </w:sdtPr>
    <w:sdtEndPr>
      <w:rPr>
        <w:noProof/>
      </w:rPr>
    </w:sdtEndPr>
    <w:sdtContent>
      <w:p w14:paraId="14AFC605" w14:textId="77777777" w:rsidR="006D760F" w:rsidRDefault="006D760F">
        <w:pPr>
          <w:pStyle w:val="Footer"/>
          <w:jc w:val="center"/>
        </w:pPr>
        <w:r>
          <w:fldChar w:fldCharType="begin"/>
        </w:r>
        <w:r>
          <w:instrText xml:space="preserve"> PAGE   \* MERGEFORMAT </w:instrText>
        </w:r>
        <w:r>
          <w:fldChar w:fldCharType="separate"/>
        </w:r>
        <w:r w:rsidR="004D1D74">
          <w:rPr>
            <w:noProof/>
          </w:rPr>
          <w:t>6</w:t>
        </w:r>
        <w:r>
          <w:rPr>
            <w:noProof/>
          </w:rPr>
          <w:fldChar w:fldCharType="end"/>
        </w:r>
      </w:p>
    </w:sdtContent>
  </w:sdt>
  <w:p w14:paraId="364C6258" w14:textId="77777777" w:rsidR="006D760F" w:rsidRDefault="006D7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1A58" w14:textId="77777777" w:rsidR="0047577E" w:rsidRDefault="0047577E">
      <w:r>
        <w:separator/>
      </w:r>
    </w:p>
  </w:footnote>
  <w:footnote w:type="continuationSeparator" w:id="0">
    <w:p w14:paraId="50672DC2" w14:textId="77777777" w:rsidR="0047577E" w:rsidRDefault="0047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615"/>
    <w:multiLevelType w:val="hybridMultilevel"/>
    <w:tmpl w:val="DEF0179A"/>
    <w:lvl w:ilvl="0" w:tplc="D2C6A27A">
      <w:start w:val="1"/>
      <w:numFmt w:val="decimal"/>
      <w:pStyle w:val="Heading1"/>
      <w:lvlText w:val="%1."/>
      <w:lvlJc w:val="left"/>
      <w:pPr>
        <w:ind w:left="720" w:hanging="360"/>
      </w:pPr>
    </w:lvl>
    <w:lvl w:ilvl="1" w:tplc="4154BD60">
      <w:start w:val="1"/>
      <w:numFmt w:val="decimal"/>
      <w:lvlText w:val="4.%2"/>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D4866"/>
    <w:multiLevelType w:val="multilevel"/>
    <w:tmpl w:val="D750B662"/>
    <w:lvl w:ilvl="0">
      <w:start w:val="4"/>
      <w:numFmt w:val="decimal"/>
      <w:lvlText w:val="%1"/>
      <w:lvlJc w:val="left"/>
      <w:pPr>
        <w:ind w:left="375" w:hanging="375"/>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375" w:hanging="375"/>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5F168E"/>
    <w:multiLevelType w:val="hybridMultilevel"/>
    <w:tmpl w:val="19D44A96"/>
    <w:lvl w:ilvl="0" w:tplc="F5F21084">
      <w:start w:val="1"/>
      <w:numFmt w:val="bullet"/>
      <w:pStyle w:val="Bodytextarrow"/>
      <w:lvlText w:val=""/>
      <w:lvlJc w:val="left"/>
      <w:pPr>
        <w:ind w:left="105" w:hanging="360"/>
      </w:pPr>
      <w:rPr>
        <w:rFonts w:ascii="Wingdings" w:hAnsi="Wingdings" w:hint="default"/>
      </w:rPr>
    </w:lvl>
    <w:lvl w:ilvl="1" w:tplc="08090003">
      <w:start w:val="1"/>
      <w:numFmt w:val="bullet"/>
      <w:lvlText w:val="o"/>
      <w:lvlJc w:val="left"/>
      <w:pPr>
        <w:ind w:left="825" w:hanging="360"/>
      </w:pPr>
      <w:rPr>
        <w:rFonts w:ascii="Courier New" w:hAnsi="Courier New" w:cs="Courier New" w:hint="default"/>
      </w:rPr>
    </w:lvl>
    <w:lvl w:ilvl="2" w:tplc="08090005">
      <w:start w:val="1"/>
      <w:numFmt w:val="bullet"/>
      <w:lvlText w:val=""/>
      <w:lvlJc w:val="left"/>
      <w:pPr>
        <w:ind w:left="1545" w:hanging="360"/>
      </w:pPr>
      <w:rPr>
        <w:rFonts w:ascii="Wingdings" w:hAnsi="Wingdings" w:hint="default"/>
      </w:rPr>
    </w:lvl>
    <w:lvl w:ilvl="3" w:tplc="08090001" w:tentative="1">
      <w:start w:val="1"/>
      <w:numFmt w:val="bullet"/>
      <w:lvlText w:val=""/>
      <w:lvlJc w:val="left"/>
      <w:pPr>
        <w:ind w:left="2265" w:hanging="360"/>
      </w:pPr>
      <w:rPr>
        <w:rFonts w:ascii="Symbol" w:hAnsi="Symbol" w:hint="default"/>
      </w:rPr>
    </w:lvl>
    <w:lvl w:ilvl="4" w:tplc="08090003" w:tentative="1">
      <w:start w:val="1"/>
      <w:numFmt w:val="bullet"/>
      <w:lvlText w:val="o"/>
      <w:lvlJc w:val="left"/>
      <w:pPr>
        <w:ind w:left="2985" w:hanging="360"/>
      </w:pPr>
      <w:rPr>
        <w:rFonts w:ascii="Courier New" w:hAnsi="Courier New" w:cs="Courier New" w:hint="default"/>
      </w:rPr>
    </w:lvl>
    <w:lvl w:ilvl="5" w:tplc="08090005" w:tentative="1">
      <w:start w:val="1"/>
      <w:numFmt w:val="bullet"/>
      <w:lvlText w:val=""/>
      <w:lvlJc w:val="left"/>
      <w:pPr>
        <w:ind w:left="3705" w:hanging="360"/>
      </w:pPr>
      <w:rPr>
        <w:rFonts w:ascii="Wingdings" w:hAnsi="Wingdings" w:hint="default"/>
      </w:rPr>
    </w:lvl>
    <w:lvl w:ilvl="6" w:tplc="08090001" w:tentative="1">
      <w:start w:val="1"/>
      <w:numFmt w:val="bullet"/>
      <w:lvlText w:val=""/>
      <w:lvlJc w:val="left"/>
      <w:pPr>
        <w:ind w:left="4425" w:hanging="360"/>
      </w:pPr>
      <w:rPr>
        <w:rFonts w:ascii="Symbol" w:hAnsi="Symbol" w:hint="default"/>
      </w:rPr>
    </w:lvl>
    <w:lvl w:ilvl="7" w:tplc="08090003" w:tentative="1">
      <w:start w:val="1"/>
      <w:numFmt w:val="bullet"/>
      <w:lvlText w:val="o"/>
      <w:lvlJc w:val="left"/>
      <w:pPr>
        <w:ind w:left="5145" w:hanging="360"/>
      </w:pPr>
      <w:rPr>
        <w:rFonts w:ascii="Courier New" w:hAnsi="Courier New" w:cs="Courier New" w:hint="default"/>
      </w:rPr>
    </w:lvl>
    <w:lvl w:ilvl="8" w:tplc="08090005" w:tentative="1">
      <w:start w:val="1"/>
      <w:numFmt w:val="bullet"/>
      <w:lvlText w:val=""/>
      <w:lvlJc w:val="left"/>
      <w:pPr>
        <w:ind w:left="5865" w:hanging="360"/>
      </w:pPr>
      <w:rPr>
        <w:rFonts w:ascii="Wingdings" w:hAnsi="Wingdings" w:hint="default"/>
      </w:rPr>
    </w:lvl>
  </w:abstractNum>
  <w:abstractNum w:abstractNumId="3" w15:restartNumberingAfterBreak="0">
    <w:nsid w:val="18C73372"/>
    <w:multiLevelType w:val="multilevel"/>
    <w:tmpl w:val="5D28470E"/>
    <w:lvl w:ilvl="0">
      <w:start w:val="1"/>
      <w:numFmt w:val="decimal"/>
      <w:pStyle w:val="Appendix1"/>
      <w:lvlText w:val="Appendix %1."/>
      <w:lvlJc w:val="left"/>
      <w:pPr>
        <w:tabs>
          <w:tab w:val="num" w:pos="1800"/>
        </w:tabs>
        <w:ind w:left="0" w:firstLine="0"/>
      </w:pPr>
    </w:lvl>
    <w:lvl w:ilvl="1">
      <w:start w:val="1"/>
      <w:numFmt w:val="decimal"/>
      <w:pStyle w:val="Appendix2"/>
      <w:lvlText w:val="%1.%2"/>
      <w:lvlJc w:val="left"/>
      <w:pPr>
        <w:tabs>
          <w:tab w:val="num" w:pos="720"/>
        </w:tabs>
        <w:ind w:left="0" w:firstLine="0"/>
      </w:pPr>
    </w:lvl>
    <w:lvl w:ilvl="2">
      <w:start w:val="1"/>
      <w:numFmt w:val="decimal"/>
      <w:pStyle w:val="Appendix3"/>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7DC5DD8"/>
    <w:multiLevelType w:val="hybridMultilevel"/>
    <w:tmpl w:val="EABE3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D5B"/>
    <w:multiLevelType w:val="multilevel"/>
    <w:tmpl w:val="E0022B54"/>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88434D1"/>
    <w:multiLevelType w:val="multilevel"/>
    <w:tmpl w:val="D750B662"/>
    <w:lvl w:ilvl="0">
      <w:start w:val="4"/>
      <w:numFmt w:val="decimal"/>
      <w:lvlText w:val="%1"/>
      <w:lvlJc w:val="left"/>
      <w:pPr>
        <w:ind w:left="375" w:hanging="375"/>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375" w:hanging="375"/>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98D770A"/>
    <w:multiLevelType w:val="hybridMultilevel"/>
    <w:tmpl w:val="06F2AE46"/>
    <w:lvl w:ilvl="0" w:tplc="591616DA">
      <w:start w:val="1"/>
      <w:numFmt w:val="decimal"/>
      <w:lvlText w:val="%1."/>
      <w:lvlJc w:val="left"/>
      <w:pPr>
        <w:ind w:left="1080" w:hanging="360"/>
      </w:pPr>
      <w:rPr>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830752A"/>
    <w:multiLevelType w:val="hybridMultilevel"/>
    <w:tmpl w:val="58CE5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513ED"/>
    <w:multiLevelType w:val="hybridMultilevel"/>
    <w:tmpl w:val="2BD03D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3083EA2"/>
    <w:multiLevelType w:val="hybridMultilevel"/>
    <w:tmpl w:val="3A5EB07A"/>
    <w:lvl w:ilvl="0" w:tplc="8ADEFC62">
      <w:start w:val="1"/>
      <w:numFmt w:val="bullet"/>
      <w:pStyle w:val="Bodytex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08597">
    <w:abstractNumId w:val="3"/>
  </w:num>
  <w:num w:numId="2" w16cid:durableId="1354765668">
    <w:abstractNumId w:val="9"/>
  </w:num>
  <w:num w:numId="3" w16cid:durableId="1723405379">
    <w:abstractNumId w:val="2"/>
  </w:num>
  <w:num w:numId="4" w16cid:durableId="140929009">
    <w:abstractNumId w:val="0"/>
  </w:num>
  <w:num w:numId="5" w16cid:durableId="1052267071">
    <w:abstractNumId w:val="10"/>
  </w:num>
  <w:num w:numId="6" w16cid:durableId="1549876465">
    <w:abstractNumId w:val="4"/>
  </w:num>
  <w:num w:numId="7" w16cid:durableId="1466460282">
    <w:abstractNumId w:val="8"/>
  </w:num>
  <w:num w:numId="8" w16cid:durableId="1479228739">
    <w:abstractNumId w:val="1"/>
  </w:num>
  <w:num w:numId="9" w16cid:durableId="1211304505">
    <w:abstractNumId w:val="7"/>
  </w:num>
  <w:num w:numId="10" w16cid:durableId="1781140850">
    <w:abstractNumId w:val="6"/>
  </w:num>
  <w:num w:numId="11" w16cid:durableId="1795905983">
    <w:abstractNumId w:val="5"/>
  </w:num>
  <w:num w:numId="12" w16cid:durableId="1592203240">
    <w:abstractNumId w:val="1"/>
  </w:num>
  <w:num w:numId="13" w16cid:durableId="625820839">
    <w:abstractNumId w:val="1"/>
  </w:num>
  <w:num w:numId="14" w16cid:durableId="66272399">
    <w:abstractNumId w:val="1"/>
  </w:num>
  <w:num w:numId="15" w16cid:durableId="1889534137">
    <w:abstractNumId w:val="1"/>
  </w:num>
  <w:num w:numId="16" w16cid:durableId="2116173000">
    <w:abstractNumId w:val="1"/>
  </w:num>
  <w:num w:numId="17" w16cid:durableId="9334255">
    <w:abstractNumId w:val="1"/>
  </w:num>
  <w:num w:numId="18" w16cid:durableId="1646350903">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9D"/>
    <w:rsid w:val="000111D2"/>
    <w:rsid w:val="00014209"/>
    <w:rsid w:val="000142BE"/>
    <w:rsid w:val="0001464A"/>
    <w:rsid w:val="00015767"/>
    <w:rsid w:val="000173DB"/>
    <w:rsid w:val="00020B9D"/>
    <w:rsid w:val="0002258E"/>
    <w:rsid w:val="00024471"/>
    <w:rsid w:val="00027485"/>
    <w:rsid w:val="00027D88"/>
    <w:rsid w:val="00030222"/>
    <w:rsid w:val="00040BB9"/>
    <w:rsid w:val="0004226A"/>
    <w:rsid w:val="00043DA1"/>
    <w:rsid w:val="0004630B"/>
    <w:rsid w:val="000527AB"/>
    <w:rsid w:val="00053F24"/>
    <w:rsid w:val="000619E0"/>
    <w:rsid w:val="00062182"/>
    <w:rsid w:val="000709CC"/>
    <w:rsid w:val="000719E5"/>
    <w:rsid w:val="00071C37"/>
    <w:rsid w:val="0007482B"/>
    <w:rsid w:val="00074A92"/>
    <w:rsid w:val="0007531B"/>
    <w:rsid w:val="000826B8"/>
    <w:rsid w:val="00083304"/>
    <w:rsid w:val="0008457F"/>
    <w:rsid w:val="000846BF"/>
    <w:rsid w:val="0009725F"/>
    <w:rsid w:val="00097A21"/>
    <w:rsid w:val="00097D7B"/>
    <w:rsid w:val="000A0613"/>
    <w:rsid w:val="000A0DA5"/>
    <w:rsid w:val="000A35CD"/>
    <w:rsid w:val="000B7C50"/>
    <w:rsid w:val="000C1838"/>
    <w:rsid w:val="000C340B"/>
    <w:rsid w:val="000C63A9"/>
    <w:rsid w:val="000D1313"/>
    <w:rsid w:val="000D366E"/>
    <w:rsid w:val="000D4A20"/>
    <w:rsid w:val="000E0E96"/>
    <w:rsid w:val="000E1FA8"/>
    <w:rsid w:val="000E29E9"/>
    <w:rsid w:val="000E6AF7"/>
    <w:rsid w:val="000F03B9"/>
    <w:rsid w:val="000F371F"/>
    <w:rsid w:val="000F3A53"/>
    <w:rsid w:val="000F3BE7"/>
    <w:rsid w:val="000F4714"/>
    <w:rsid w:val="000F5B02"/>
    <w:rsid w:val="000F6320"/>
    <w:rsid w:val="00100B50"/>
    <w:rsid w:val="00104D33"/>
    <w:rsid w:val="0010750F"/>
    <w:rsid w:val="001107DC"/>
    <w:rsid w:val="00111049"/>
    <w:rsid w:val="001132C1"/>
    <w:rsid w:val="001136E2"/>
    <w:rsid w:val="00116D93"/>
    <w:rsid w:val="001177DA"/>
    <w:rsid w:val="0012244C"/>
    <w:rsid w:val="00134D07"/>
    <w:rsid w:val="00147B08"/>
    <w:rsid w:val="0015103F"/>
    <w:rsid w:val="00154BFB"/>
    <w:rsid w:val="0015573C"/>
    <w:rsid w:val="001561A6"/>
    <w:rsid w:val="00161E7E"/>
    <w:rsid w:val="0016395D"/>
    <w:rsid w:val="001644B2"/>
    <w:rsid w:val="0016769E"/>
    <w:rsid w:val="001726C7"/>
    <w:rsid w:val="00172730"/>
    <w:rsid w:val="001732E1"/>
    <w:rsid w:val="00173711"/>
    <w:rsid w:val="00176323"/>
    <w:rsid w:val="0017697F"/>
    <w:rsid w:val="00181186"/>
    <w:rsid w:val="00182C40"/>
    <w:rsid w:val="00186E22"/>
    <w:rsid w:val="00192E25"/>
    <w:rsid w:val="0019330A"/>
    <w:rsid w:val="001A0499"/>
    <w:rsid w:val="001B03A5"/>
    <w:rsid w:val="001B07D7"/>
    <w:rsid w:val="001B5C65"/>
    <w:rsid w:val="001B60E9"/>
    <w:rsid w:val="001B6DEE"/>
    <w:rsid w:val="001C4942"/>
    <w:rsid w:val="001C6CF7"/>
    <w:rsid w:val="001D167E"/>
    <w:rsid w:val="001D25BF"/>
    <w:rsid w:val="001D46FB"/>
    <w:rsid w:val="001D5C0F"/>
    <w:rsid w:val="001D76C0"/>
    <w:rsid w:val="001E0B9D"/>
    <w:rsid w:val="001E2359"/>
    <w:rsid w:val="001E42A7"/>
    <w:rsid w:val="001E5F18"/>
    <w:rsid w:val="001F05B0"/>
    <w:rsid w:val="001F06DA"/>
    <w:rsid w:val="001F0860"/>
    <w:rsid w:val="001F2D67"/>
    <w:rsid w:val="001F68E3"/>
    <w:rsid w:val="001F7174"/>
    <w:rsid w:val="001F7AB6"/>
    <w:rsid w:val="00202765"/>
    <w:rsid w:val="00205FC6"/>
    <w:rsid w:val="00212A3F"/>
    <w:rsid w:val="0021316B"/>
    <w:rsid w:val="00213348"/>
    <w:rsid w:val="00220B62"/>
    <w:rsid w:val="00220EEE"/>
    <w:rsid w:val="00222953"/>
    <w:rsid w:val="00223C5F"/>
    <w:rsid w:val="0022560B"/>
    <w:rsid w:val="00230FA7"/>
    <w:rsid w:val="00232A3D"/>
    <w:rsid w:val="00235B13"/>
    <w:rsid w:val="002408D1"/>
    <w:rsid w:val="00243F1B"/>
    <w:rsid w:val="00250F11"/>
    <w:rsid w:val="00251B89"/>
    <w:rsid w:val="00254339"/>
    <w:rsid w:val="00255C96"/>
    <w:rsid w:val="00262113"/>
    <w:rsid w:val="00265D66"/>
    <w:rsid w:val="002660F6"/>
    <w:rsid w:val="00266A2D"/>
    <w:rsid w:val="0026775C"/>
    <w:rsid w:val="00270C29"/>
    <w:rsid w:val="00273D8D"/>
    <w:rsid w:val="002760DB"/>
    <w:rsid w:val="002800FD"/>
    <w:rsid w:val="00280D62"/>
    <w:rsid w:val="002825A3"/>
    <w:rsid w:val="002856BA"/>
    <w:rsid w:val="0029184E"/>
    <w:rsid w:val="00291CE8"/>
    <w:rsid w:val="002921CE"/>
    <w:rsid w:val="002922EE"/>
    <w:rsid w:val="0029395C"/>
    <w:rsid w:val="00295A90"/>
    <w:rsid w:val="00297E63"/>
    <w:rsid w:val="002A117E"/>
    <w:rsid w:val="002A3F99"/>
    <w:rsid w:val="002B4DAE"/>
    <w:rsid w:val="002C1C48"/>
    <w:rsid w:val="002C70D7"/>
    <w:rsid w:val="002D32A5"/>
    <w:rsid w:val="002D39BB"/>
    <w:rsid w:val="002D4FD3"/>
    <w:rsid w:val="002D6C00"/>
    <w:rsid w:val="002E0278"/>
    <w:rsid w:val="002E0300"/>
    <w:rsid w:val="002E0514"/>
    <w:rsid w:val="002E1382"/>
    <w:rsid w:val="002E1AA6"/>
    <w:rsid w:val="002E1E8E"/>
    <w:rsid w:val="002E6193"/>
    <w:rsid w:val="002E629D"/>
    <w:rsid w:val="002E75A3"/>
    <w:rsid w:val="002F0512"/>
    <w:rsid w:val="002F0E44"/>
    <w:rsid w:val="002F1B17"/>
    <w:rsid w:val="002F3EBA"/>
    <w:rsid w:val="002F48ED"/>
    <w:rsid w:val="002F7404"/>
    <w:rsid w:val="00317A93"/>
    <w:rsid w:val="0032013F"/>
    <w:rsid w:val="00320BAA"/>
    <w:rsid w:val="00323E3F"/>
    <w:rsid w:val="003240DC"/>
    <w:rsid w:val="003311C0"/>
    <w:rsid w:val="00337ECA"/>
    <w:rsid w:val="0034136C"/>
    <w:rsid w:val="00342CB9"/>
    <w:rsid w:val="003448D4"/>
    <w:rsid w:val="003451C7"/>
    <w:rsid w:val="003460D1"/>
    <w:rsid w:val="00347179"/>
    <w:rsid w:val="00352B41"/>
    <w:rsid w:val="00360E7C"/>
    <w:rsid w:val="00363D7E"/>
    <w:rsid w:val="00365243"/>
    <w:rsid w:val="003700B2"/>
    <w:rsid w:val="00375526"/>
    <w:rsid w:val="00376C01"/>
    <w:rsid w:val="00377B3E"/>
    <w:rsid w:val="00377C13"/>
    <w:rsid w:val="0038024C"/>
    <w:rsid w:val="00382438"/>
    <w:rsid w:val="00383786"/>
    <w:rsid w:val="00387072"/>
    <w:rsid w:val="00391B9F"/>
    <w:rsid w:val="003945B4"/>
    <w:rsid w:val="00396173"/>
    <w:rsid w:val="0039759C"/>
    <w:rsid w:val="003A053A"/>
    <w:rsid w:val="003A1127"/>
    <w:rsid w:val="003A24F8"/>
    <w:rsid w:val="003A628F"/>
    <w:rsid w:val="003B1145"/>
    <w:rsid w:val="003B2E65"/>
    <w:rsid w:val="003B5247"/>
    <w:rsid w:val="003B540C"/>
    <w:rsid w:val="003B7013"/>
    <w:rsid w:val="003C0EC6"/>
    <w:rsid w:val="003D230D"/>
    <w:rsid w:val="003D2A80"/>
    <w:rsid w:val="003D3D84"/>
    <w:rsid w:val="003D4815"/>
    <w:rsid w:val="003D7300"/>
    <w:rsid w:val="003E14D1"/>
    <w:rsid w:val="003F183C"/>
    <w:rsid w:val="003F3706"/>
    <w:rsid w:val="003F778A"/>
    <w:rsid w:val="003F7E33"/>
    <w:rsid w:val="00401112"/>
    <w:rsid w:val="00406022"/>
    <w:rsid w:val="004062A9"/>
    <w:rsid w:val="00410DC1"/>
    <w:rsid w:val="004179D1"/>
    <w:rsid w:val="00417B3A"/>
    <w:rsid w:val="00422647"/>
    <w:rsid w:val="00422AD0"/>
    <w:rsid w:val="00422DA0"/>
    <w:rsid w:val="0042572A"/>
    <w:rsid w:val="00426CB3"/>
    <w:rsid w:val="00427040"/>
    <w:rsid w:val="0043070E"/>
    <w:rsid w:val="00431553"/>
    <w:rsid w:val="00432B6E"/>
    <w:rsid w:val="0043402C"/>
    <w:rsid w:val="0043664B"/>
    <w:rsid w:val="0043752C"/>
    <w:rsid w:val="00441A9A"/>
    <w:rsid w:val="00444A18"/>
    <w:rsid w:val="00445D23"/>
    <w:rsid w:val="00446A08"/>
    <w:rsid w:val="00446EC0"/>
    <w:rsid w:val="00447125"/>
    <w:rsid w:val="0045186F"/>
    <w:rsid w:val="00452A84"/>
    <w:rsid w:val="004647A5"/>
    <w:rsid w:val="00466819"/>
    <w:rsid w:val="00467F4C"/>
    <w:rsid w:val="0047577E"/>
    <w:rsid w:val="004779EB"/>
    <w:rsid w:val="00480F35"/>
    <w:rsid w:val="00483D98"/>
    <w:rsid w:val="00485C64"/>
    <w:rsid w:val="00494A68"/>
    <w:rsid w:val="00496B3F"/>
    <w:rsid w:val="00496F7D"/>
    <w:rsid w:val="004A7F27"/>
    <w:rsid w:val="004C2793"/>
    <w:rsid w:val="004D1D74"/>
    <w:rsid w:val="004D5C16"/>
    <w:rsid w:val="004E22A6"/>
    <w:rsid w:val="00500852"/>
    <w:rsid w:val="00504D75"/>
    <w:rsid w:val="005051D6"/>
    <w:rsid w:val="005132BE"/>
    <w:rsid w:val="00515690"/>
    <w:rsid w:val="00516705"/>
    <w:rsid w:val="00517FD1"/>
    <w:rsid w:val="0052034C"/>
    <w:rsid w:val="00522477"/>
    <w:rsid w:val="0052280C"/>
    <w:rsid w:val="005228CE"/>
    <w:rsid w:val="00525BFD"/>
    <w:rsid w:val="00532B55"/>
    <w:rsid w:val="00535C61"/>
    <w:rsid w:val="00535E8E"/>
    <w:rsid w:val="00536FEB"/>
    <w:rsid w:val="0053758F"/>
    <w:rsid w:val="005451F6"/>
    <w:rsid w:val="005507D1"/>
    <w:rsid w:val="0055238E"/>
    <w:rsid w:val="005642F3"/>
    <w:rsid w:val="005654DD"/>
    <w:rsid w:val="00570754"/>
    <w:rsid w:val="00581BDB"/>
    <w:rsid w:val="00583DCB"/>
    <w:rsid w:val="00584D55"/>
    <w:rsid w:val="00584E07"/>
    <w:rsid w:val="0058605E"/>
    <w:rsid w:val="00590CDA"/>
    <w:rsid w:val="005A1034"/>
    <w:rsid w:val="005A3301"/>
    <w:rsid w:val="005A63B6"/>
    <w:rsid w:val="005A7D60"/>
    <w:rsid w:val="005B478B"/>
    <w:rsid w:val="005B6C7A"/>
    <w:rsid w:val="005C0003"/>
    <w:rsid w:val="005C0C02"/>
    <w:rsid w:val="005C5DC1"/>
    <w:rsid w:val="005C61E1"/>
    <w:rsid w:val="005D1578"/>
    <w:rsid w:val="005D1A55"/>
    <w:rsid w:val="005D219F"/>
    <w:rsid w:val="005E4207"/>
    <w:rsid w:val="005E4E49"/>
    <w:rsid w:val="005E4F60"/>
    <w:rsid w:val="005F485B"/>
    <w:rsid w:val="005F6B61"/>
    <w:rsid w:val="005F79F1"/>
    <w:rsid w:val="0060071D"/>
    <w:rsid w:val="00600AD6"/>
    <w:rsid w:val="006028A3"/>
    <w:rsid w:val="0060344F"/>
    <w:rsid w:val="00604726"/>
    <w:rsid w:val="006123E3"/>
    <w:rsid w:val="00616605"/>
    <w:rsid w:val="00617570"/>
    <w:rsid w:val="006209DA"/>
    <w:rsid w:val="00626AEB"/>
    <w:rsid w:val="00632A7F"/>
    <w:rsid w:val="00632E52"/>
    <w:rsid w:val="00633669"/>
    <w:rsid w:val="0063443A"/>
    <w:rsid w:val="00635582"/>
    <w:rsid w:val="00635A1E"/>
    <w:rsid w:val="006361D5"/>
    <w:rsid w:val="006444D0"/>
    <w:rsid w:val="00645B0D"/>
    <w:rsid w:val="00646215"/>
    <w:rsid w:val="006505B3"/>
    <w:rsid w:val="00651469"/>
    <w:rsid w:val="00653531"/>
    <w:rsid w:val="006538E3"/>
    <w:rsid w:val="00657BB4"/>
    <w:rsid w:val="00660426"/>
    <w:rsid w:val="00660C50"/>
    <w:rsid w:val="00661A74"/>
    <w:rsid w:val="0066231E"/>
    <w:rsid w:val="00663883"/>
    <w:rsid w:val="00671D13"/>
    <w:rsid w:val="00693696"/>
    <w:rsid w:val="006A11A8"/>
    <w:rsid w:val="006A23BB"/>
    <w:rsid w:val="006A3A9E"/>
    <w:rsid w:val="006A6E01"/>
    <w:rsid w:val="006B0DB1"/>
    <w:rsid w:val="006B0FE9"/>
    <w:rsid w:val="006B6156"/>
    <w:rsid w:val="006B723C"/>
    <w:rsid w:val="006B7ED3"/>
    <w:rsid w:val="006C0411"/>
    <w:rsid w:val="006C1DBD"/>
    <w:rsid w:val="006C5D10"/>
    <w:rsid w:val="006C5F2E"/>
    <w:rsid w:val="006D58C8"/>
    <w:rsid w:val="006D5AF6"/>
    <w:rsid w:val="006D760F"/>
    <w:rsid w:val="006E15EA"/>
    <w:rsid w:val="006E4653"/>
    <w:rsid w:val="006F5B86"/>
    <w:rsid w:val="00703567"/>
    <w:rsid w:val="00705496"/>
    <w:rsid w:val="007075E4"/>
    <w:rsid w:val="00711322"/>
    <w:rsid w:val="0071381F"/>
    <w:rsid w:val="007154CA"/>
    <w:rsid w:val="00721D0B"/>
    <w:rsid w:val="0072258B"/>
    <w:rsid w:val="00723FE9"/>
    <w:rsid w:val="00724A45"/>
    <w:rsid w:val="0073098F"/>
    <w:rsid w:val="0073131B"/>
    <w:rsid w:val="00732227"/>
    <w:rsid w:val="00735AA9"/>
    <w:rsid w:val="00736865"/>
    <w:rsid w:val="00736F1C"/>
    <w:rsid w:val="0074658B"/>
    <w:rsid w:val="007508C9"/>
    <w:rsid w:val="00752FDD"/>
    <w:rsid w:val="0075424A"/>
    <w:rsid w:val="00760601"/>
    <w:rsid w:val="0076345D"/>
    <w:rsid w:val="00765912"/>
    <w:rsid w:val="007703AC"/>
    <w:rsid w:val="0077141C"/>
    <w:rsid w:val="00780B3C"/>
    <w:rsid w:val="00782BFE"/>
    <w:rsid w:val="007866D6"/>
    <w:rsid w:val="007909A0"/>
    <w:rsid w:val="00790FF3"/>
    <w:rsid w:val="0079213F"/>
    <w:rsid w:val="00792DA0"/>
    <w:rsid w:val="0079504C"/>
    <w:rsid w:val="00795FF7"/>
    <w:rsid w:val="00796018"/>
    <w:rsid w:val="007A1A44"/>
    <w:rsid w:val="007B24D4"/>
    <w:rsid w:val="007B61AF"/>
    <w:rsid w:val="007B671B"/>
    <w:rsid w:val="007C2ECA"/>
    <w:rsid w:val="007C4CD2"/>
    <w:rsid w:val="007C7D99"/>
    <w:rsid w:val="007D2E72"/>
    <w:rsid w:val="007D3880"/>
    <w:rsid w:val="007D40C8"/>
    <w:rsid w:val="007D4705"/>
    <w:rsid w:val="007D7394"/>
    <w:rsid w:val="007E1273"/>
    <w:rsid w:val="007E3969"/>
    <w:rsid w:val="007E605D"/>
    <w:rsid w:val="007F0876"/>
    <w:rsid w:val="007F2252"/>
    <w:rsid w:val="007F57F2"/>
    <w:rsid w:val="007F5E78"/>
    <w:rsid w:val="007F6AD7"/>
    <w:rsid w:val="007F6C2C"/>
    <w:rsid w:val="0080110E"/>
    <w:rsid w:val="008103E0"/>
    <w:rsid w:val="00811498"/>
    <w:rsid w:val="0081264A"/>
    <w:rsid w:val="00814E53"/>
    <w:rsid w:val="0083124E"/>
    <w:rsid w:val="00834AA2"/>
    <w:rsid w:val="0083671A"/>
    <w:rsid w:val="00836C70"/>
    <w:rsid w:val="00840483"/>
    <w:rsid w:val="00841190"/>
    <w:rsid w:val="00842A2C"/>
    <w:rsid w:val="0084416C"/>
    <w:rsid w:val="00844EF2"/>
    <w:rsid w:val="00847218"/>
    <w:rsid w:val="008475E9"/>
    <w:rsid w:val="0085079E"/>
    <w:rsid w:val="0085130D"/>
    <w:rsid w:val="00851A66"/>
    <w:rsid w:val="0085631B"/>
    <w:rsid w:val="008568DF"/>
    <w:rsid w:val="008633C2"/>
    <w:rsid w:val="00864EC8"/>
    <w:rsid w:val="0086759B"/>
    <w:rsid w:val="008715DA"/>
    <w:rsid w:val="008717AB"/>
    <w:rsid w:val="00872551"/>
    <w:rsid w:val="00880C71"/>
    <w:rsid w:val="00886E12"/>
    <w:rsid w:val="00891F6F"/>
    <w:rsid w:val="00894884"/>
    <w:rsid w:val="0089492D"/>
    <w:rsid w:val="008A0C20"/>
    <w:rsid w:val="008A18BA"/>
    <w:rsid w:val="008A1B27"/>
    <w:rsid w:val="008A1F19"/>
    <w:rsid w:val="008A34ED"/>
    <w:rsid w:val="008A3FCF"/>
    <w:rsid w:val="008A421A"/>
    <w:rsid w:val="008A69CB"/>
    <w:rsid w:val="008B008D"/>
    <w:rsid w:val="008B04FD"/>
    <w:rsid w:val="008B2FD2"/>
    <w:rsid w:val="008C0A2E"/>
    <w:rsid w:val="008C1801"/>
    <w:rsid w:val="008C3279"/>
    <w:rsid w:val="008C4E2F"/>
    <w:rsid w:val="008C60CE"/>
    <w:rsid w:val="008C6EAD"/>
    <w:rsid w:val="008D0E87"/>
    <w:rsid w:val="008D4793"/>
    <w:rsid w:val="008D7DCE"/>
    <w:rsid w:val="008E4688"/>
    <w:rsid w:val="008E5C87"/>
    <w:rsid w:val="008E60FC"/>
    <w:rsid w:val="008E63E0"/>
    <w:rsid w:val="008E715E"/>
    <w:rsid w:val="009000BA"/>
    <w:rsid w:val="00900255"/>
    <w:rsid w:val="00901C2E"/>
    <w:rsid w:val="00903F4B"/>
    <w:rsid w:val="009042D5"/>
    <w:rsid w:val="00905FA8"/>
    <w:rsid w:val="0091614C"/>
    <w:rsid w:val="009167AE"/>
    <w:rsid w:val="009174BD"/>
    <w:rsid w:val="009227A5"/>
    <w:rsid w:val="00923F57"/>
    <w:rsid w:val="00927D08"/>
    <w:rsid w:val="009322E3"/>
    <w:rsid w:val="00936B99"/>
    <w:rsid w:val="0094148B"/>
    <w:rsid w:val="00944B7C"/>
    <w:rsid w:val="00952A03"/>
    <w:rsid w:val="00953396"/>
    <w:rsid w:val="009604BD"/>
    <w:rsid w:val="00960FB5"/>
    <w:rsid w:val="00962566"/>
    <w:rsid w:val="00962940"/>
    <w:rsid w:val="0096590B"/>
    <w:rsid w:val="00967FAC"/>
    <w:rsid w:val="00972E18"/>
    <w:rsid w:val="00973C8A"/>
    <w:rsid w:val="00977E05"/>
    <w:rsid w:val="00980069"/>
    <w:rsid w:val="009817C3"/>
    <w:rsid w:val="00985C40"/>
    <w:rsid w:val="00992E53"/>
    <w:rsid w:val="00993A06"/>
    <w:rsid w:val="00995CFB"/>
    <w:rsid w:val="00996D56"/>
    <w:rsid w:val="009A07B0"/>
    <w:rsid w:val="009B13ED"/>
    <w:rsid w:val="009B74B1"/>
    <w:rsid w:val="009C257C"/>
    <w:rsid w:val="009D1420"/>
    <w:rsid w:val="009D31CF"/>
    <w:rsid w:val="009E1DF8"/>
    <w:rsid w:val="009E5E35"/>
    <w:rsid w:val="009E618B"/>
    <w:rsid w:val="009F04BD"/>
    <w:rsid w:val="009F0682"/>
    <w:rsid w:val="009F3191"/>
    <w:rsid w:val="009F4203"/>
    <w:rsid w:val="009F6D5A"/>
    <w:rsid w:val="00A012F4"/>
    <w:rsid w:val="00A0332E"/>
    <w:rsid w:val="00A07ECA"/>
    <w:rsid w:val="00A1061E"/>
    <w:rsid w:val="00A13CFD"/>
    <w:rsid w:val="00A209BE"/>
    <w:rsid w:val="00A21B6A"/>
    <w:rsid w:val="00A2330A"/>
    <w:rsid w:val="00A23D5F"/>
    <w:rsid w:val="00A3103B"/>
    <w:rsid w:val="00A312B2"/>
    <w:rsid w:val="00A34538"/>
    <w:rsid w:val="00A348F7"/>
    <w:rsid w:val="00A362A2"/>
    <w:rsid w:val="00A363E4"/>
    <w:rsid w:val="00A45D75"/>
    <w:rsid w:val="00A47040"/>
    <w:rsid w:val="00A509FA"/>
    <w:rsid w:val="00A527A7"/>
    <w:rsid w:val="00A55BED"/>
    <w:rsid w:val="00A55CE1"/>
    <w:rsid w:val="00A60ACC"/>
    <w:rsid w:val="00A625EF"/>
    <w:rsid w:val="00A63D43"/>
    <w:rsid w:val="00A65628"/>
    <w:rsid w:val="00A656DF"/>
    <w:rsid w:val="00A72E7F"/>
    <w:rsid w:val="00A77A91"/>
    <w:rsid w:val="00A8283A"/>
    <w:rsid w:val="00A84137"/>
    <w:rsid w:val="00A919C6"/>
    <w:rsid w:val="00A9328B"/>
    <w:rsid w:val="00A94C72"/>
    <w:rsid w:val="00A94E19"/>
    <w:rsid w:val="00A96274"/>
    <w:rsid w:val="00AA79B2"/>
    <w:rsid w:val="00AB3EBF"/>
    <w:rsid w:val="00AB3F5F"/>
    <w:rsid w:val="00AB5B71"/>
    <w:rsid w:val="00AC14E7"/>
    <w:rsid w:val="00AC1A36"/>
    <w:rsid w:val="00AC3FDA"/>
    <w:rsid w:val="00AC4975"/>
    <w:rsid w:val="00AC50D7"/>
    <w:rsid w:val="00AC52B8"/>
    <w:rsid w:val="00AD05B8"/>
    <w:rsid w:val="00AD32E3"/>
    <w:rsid w:val="00AD3B1E"/>
    <w:rsid w:val="00AD5AE4"/>
    <w:rsid w:val="00AD7A8A"/>
    <w:rsid w:val="00AE07C4"/>
    <w:rsid w:val="00AE0D6E"/>
    <w:rsid w:val="00AE3529"/>
    <w:rsid w:val="00AE6A85"/>
    <w:rsid w:val="00AF1676"/>
    <w:rsid w:val="00AF240C"/>
    <w:rsid w:val="00B01BE9"/>
    <w:rsid w:val="00B123B0"/>
    <w:rsid w:val="00B12773"/>
    <w:rsid w:val="00B203C9"/>
    <w:rsid w:val="00B2042E"/>
    <w:rsid w:val="00B245B5"/>
    <w:rsid w:val="00B2627B"/>
    <w:rsid w:val="00B3038F"/>
    <w:rsid w:val="00B303CE"/>
    <w:rsid w:val="00B31733"/>
    <w:rsid w:val="00B33D06"/>
    <w:rsid w:val="00B36236"/>
    <w:rsid w:val="00B44207"/>
    <w:rsid w:val="00B4481A"/>
    <w:rsid w:val="00B4483B"/>
    <w:rsid w:val="00B51FB1"/>
    <w:rsid w:val="00B55E28"/>
    <w:rsid w:val="00B62A99"/>
    <w:rsid w:val="00B65BFB"/>
    <w:rsid w:val="00B662BF"/>
    <w:rsid w:val="00B72A20"/>
    <w:rsid w:val="00B806BF"/>
    <w:rsid w:val="00B80E55"/>
    <w:rsid w:val="00B828E3"/>
    <w:rsid w:val="00B91812"/>
    <w:rsid w:val="00B968B7"/>
    <w:rsid w:val="00BA6132"/>
    <w:rsid w:val="00BA6192"/>
    <w:rsid w:val="00BB0136"/>
    <w:rsid w:val="00BB13A5"/>
    <w:rsid w:val="00BB29A5"/>
    <w:rsid w:val="00BB2FA7"/>
    <w:rsid w:val="00BB6D1E"/>
    <w:rsid w:val="00BC0B85"/>
    <w:rsid w:val="00BC48DD"/>
    <w:rsid w:val="00BD0C63"/>
    <w:rsid w:val="00BD1821"/>
    <w:rsid w:val="00BE0B0C"/>
    <w:rsid w:val="00BE12BF"/>
    <w:rsid w:val="00BE3376"/>
    <w:rsid w:val="00BE505C"/>
    <w:rsid w:val="00BE54CD"/>
    <w:rsid w:val="00BE73D9"/>
    <w:rsid w:val="00BF7432"/>
    <w:rsid w:val="00C00CAA"/>
    <w:rsid w:val="00C05249"/>
    <w:rsid w:val="00C05E8B"/>
    <w:rsid w:val="00C07408"/>
    <w:rsid w:val="00C1582B"/>
    <w:rsid w:val="00C16F33"/>
    <w:rsid w:val="00C20541"/>
    <w:rsid w:val="00C21EE1"/>
    <w:rsid w:val="00C23E1D"/>
    <w:rsid w:val="00C25EB6"/>
    <w:rsid w:val="00C370B6"/>
    <w:rsid w:val="00C3764D"/>
    <w:rsid w:val="00C37B1F"/>
    <w:rsid w:val="00C40DE0"/>
    <w:rsid w:val="00C419B8"/>
    <w:rsid w:val="00C438F0"/>
    <w:rsid w:val="00C453EE"/>
    <w:rsid w:val="00C45C3E"/>
    <w:rsid w:val="00C46204"/>
    <w:rsid w:val="00C471A1"/>
    <w:rsid w:val="00C53C77"/>
    <w:rsid w:val="00C56ADB"/>
    <w:rsid w:val="00C608DD"/>
    <w:rsid w:val="00C60A0A"/>
    <w:rsid w:val="00C62950"/>
    <w:rsid w:val="00C6555F"/>
    <w:rsid w:val="00C661DF"/>
    <w:rsid w:val="00C66F28"/>
    <w:rsid w:val="00C67712"/>
    <w:rsid w:val="00C761EE"/>
    <w:rsid w:val="00C762C4"/>
    <w:rsid w:val="00C775EC"/>
    <w:rsid w:val="00C77AF8"/>
    <w:rsid w:val="00C82FAD"/>
    <w:rsid w:val="00C86DAC"/>
    <w:rsid w:val="00C87F1D"/>
    <w:rsid w:val="00C912FC"/>
    <w:rsid w:val="00C9542F"/>
    <w:rsid w:val="00C95CCA"/>
    <w:rsid w:val="00C95E82"/>
    <w:rsid w:val="00CA0A6D"/>
    <w:rsid w:val="00CA2F5E"/>
    <w:rsid w:val="00CA52ED"/>
    <w:rsid w:val="00CA713F"/>
    <w:rsid w:val="00CB083F"/>
    <w:rsid w:val="00CB21C3"/>
    <w:rsid w:val="00CB4C61"/>
    <w:rsid w:val="00CC1105"/>
    <w:rsid w:val="00CC168B"/>
    <w:rsid w:val="00CC1AD5"/>
    <w:rsid w:val="00CC2000"/>
    <w:rsid w:val="00CC48E8"/>
    <w:rsid w:val="00CC5CF2"/>
    <w:rsid w:val="00CC61BE"/>
    <w:rsid w:val="00CD0C20"/>
    <w:rsid w:val="00CD257E"/>
    <w:rsid w:val="00CD27C3"/>
    <w:rsid w:val="00CD7A7B"/>
    <w:rsid w:val="00CE04A1"/>
    <w:rsid w:val="00CE303A"/>
    <w:rsid w:val="00CE43CE"/>
    <w:rsid w:val="00CE490F"/>
    <w:rsid w:val="00CE5684"/>
    <w:rsid w:val="00CF256D"/>
    <w:rsid w:val="00CF2588"/>
    <w:rsid w:val="00D113E8"/>
    <w:rsid w:val="00D1145E"/>
    <w:rsid w:val="00D13069"/>
    <w:rsid w:val="00D26B00"/>
    <w:rsid w:val="00D323F9"/>
    <w:rsid w:val="00D432B2"/>
    <w:rsid w:val="00D50A98"/>
    <w:rsid w:val="00D55252"/>
    <w:rsid w:val="00D55D40"/>
    <w:rsid w:val="00D5623E"/>
    <w:rsid w:val="00D74BAF"/>
    <w:rsid w:val="00D755DD"/>
    <w:rsid w:val="00D75CD1"/>
    <w:rsid w:val="00D767FA"/>
    <w:rsid w:val="00D8394D"/>
    <w:rsid w:val="00D8708A"/>
    <w:rsid w:val="00D928A5"/>
    <w:rsid w:val="00D97945"/>
    <w:rsid w:val="00DA1733"/>
    <w:rsid w:val="00DA1F0A"/>
    <w:rsid w:val="00DA476E"/>
    <w:rsid w:val="00DA5519"/>
    <w:rsid w:val="00DB17E8"/>
    <w:rsid w:val="00DB3281"/>
    <w:rsid w:val="00DB6AF3"/>
    <w:rsid w:val="00DB7EE8"/>
    <w:rsid w:val="00DC4D94"/>
    <w:rsid w:val="00DC5C21"/>
    <w:rsid w:val="00DC63F4"/>
    <w:rsid w:val="00DC7102"/>
    <w:rsid w:val="00DC7DEA"/>
    <w:rsid w:val="00DD2992"/>
    <w:rsid w:val="00DD3B58"/>
    <w:rsid w:val="00DE335C"/>
    <w:rsid w:val="00DE502C"/>
    <w:rsid w:val="00DE5AB2"/>
    <w:rsid w:val="00DF1BE7"/>
    <w:rsid w:val="00DF2198"/>
    <w:rsid w:val="00DF526D"/>
    <w:rsid w:val="00E01BD8"/>
    <w:rsid w:val="00E04047"/>
    <w:rsid w:val="00E122BB"/>
    <w:rsid w:val="00E12E0B"/>
    <w:rsid w:val="00E13EC5"/>
    <w:rsid w:val="00E16471"/>
    <w:rsid w:val="00E24EA7"/>
    <w:rsid w:val="00E30252"/>
    <w:rsid w:val="00E30ADD"/>
    <w:rsid w:val="00E34978"/>
    <w:rsid w:val="00E37961"/>
    <w:rsid w:val="00E40FCC"/>
    <w:rsid w:val="00E42F09"/>
    <w:rsid w:val="00E5025A"/>
    <w:rsid w:val="00E50E26"/>
    <w:rsid w:val="00E52071"/>
    <w:rsid w:val="00E52F35"/>
    <w:rsid w:val="00E564EA"/>
    <w:rsid w:val="00E57CEC"/>
    <w:rsid w:val="00E6035A"/>
    <w:rsid w:val="00E60724"/>
    <w:rsid w:val="00E649E2"/>
    <w:rsid w:val="00E65A69"/>
    <w:rsid w:val="00E66700"/>
    <w:rsid w:val="00E73DD4"/>
    <w:rsid w:val="00E756A0"/>
    <w:rsid w:val="00E76642"/>
    <w:rsid w:val="00E77D3E"/>
    <w:rsid w:val="00E80D8D"/>
    <w:rsid w:val="00E839A6"/>
    <w:rsid w:val="00E843E7"/>
    <w:rsid w:val="00E84D72"/>
    <w:rsid w:val="00E8562B"/>
    <w:rsid w:val="00E912A5"/>
    <w:rsid w:val="00E918FC"/>
    <w:rsid w:val="00E92039"/>
    <w:rsid w:val="00EA00DD"/>
    <w:rsid w:val="00EA6E50"/>
    <w:rsid w:val="00EA6F54"/>
    <w:rsid w:val="00EB38D6"/>
    <w:rsid w:val="00EC0286"/>
    <w:rsid w:val="00EC198E"/>
    <w:rsid w:val="00EC3393"/>
    <w:rsid w:val="00ED3C84"/>
    <w:rsid w:val="00ED3D97"/>
    <w:rsid w:val="00ED4BF0"/>
    <w:rsid w:val="00ED6BC0"/>
    <w:rsid w:val="00EE1A98"/>
    <w:rsid w:val="00EE45AE"/>
    <w:rsid w:val="00EE5D64"/>
    <w:rsid w:val="00EF093F"/>
    <w:rsid w:val="00EF1FA2"/>
    <w:rsid w:val="00EF370D"/>
    <w:rsid w:val="00EF578F"/>
    <w:rsid w:val="00F01141"/>
    <w:rsid w:val="00F0532A"/>
    <w:rsid w:val="00F060E3"/>
    <w:rsid w:val="00F07939"/>
    <w:rsid w:val="00F109D9"/>
    <w:rsid w:val="00F14525"/>
    <w:rsid w:val="00F258FD"/>
    <w:rsid w:val="00F316AB"/>
    <w:rsid w:val="00F3287F"/>
    <w:rsid w:val="00F37A36"/>
    <w:rsid w:val="00F37B86"/>
    <w:rsid w:val="00F40BBD"/>
    <w:rsid w:val="00F45EFF"/>
    <w:rsid w:val="00F54B57"/>
    <w:rsid w:val="00F54E16"/>
    <w:rsid w:val="00F5655E"/>
    <w:rsid w:val="00F56BE2"/>
    <w:rsid w:val="00F57874"/>
    <w:rsid w:val="00F62AE4"/>
    <w:rsid w:val="00F63C1B"/>
    <w:rsid w:val="00F64D4D"/>
    <w:rsid w:val="00F65105"/>
    <w:rsid w:val="00F65DA8"/>
    <w:rsid w:val="00F67DB8"/>
    <w:rsid w:val="00F70E04"/>
    <w:rsid w:val="00F72238"/>
    <w:rsid w:val="00F74421"/>
    <w:rsid w:val="00F74F2C"/>
    <w:rsid w:val="00F84AB9"/>
    <w:rsid w:val="00F9129D"/>
    <w:rsid w:val="00F9187F"/>
    <w:rsid w:val="00F9454E"/>
    <w:rsid w:val="00FA026A"/>
    <w:rsid w:val="00FA088A"/>
    <w:rsid w:val="00FA2723"/>
    <w:rsid w:val="00FA4F66"/>
    <w:rsid w:val="00FA58D8"/>
    <w:rsid w:val="00FB0832"/>
    <w:rsid w:val="00FB17D6"/>
    <w:rsid w:val="00FB2C05"/>
    <w:rsid w:val="00FB44B5"/>
    <w:rsid w:val="00FB5B74"/>
    <w:rsid w:val="00FC192C"/>
    <w:rsid w:val="00FC3336"/>
    <w:rsid w:val="00FC75FB"/>
    <w:rsid w:val="00FD5D4A"/>
    <w:rsid w:val="00FD60A8"/>
    <w:rsid w:val="00FE0AF5"/>
    <w:rsid w:val="00FE57C7"/>
    <w:rsid w:val="00FE6050"/>
    <w:rsid w:val="00FF165B"/>
    <w:rsid w:val="00FF18E2"/>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E6ECA"/>
  <w15:docId w15:val="{16E940F5-1B9F-4BE1-9836-8FD19F1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qFormat/>
    <w:rsid w:val="00D55252"/>
    <w:pPr>
      <w:keepNext/>
      <w:numPr>
        <w:numId w:val="4"/>
      </w:numPr>
      <w:spacing w:before="240" w:after="240"/>
      <w:ind w:hanging="720"/>
      <w:outlineLvl w:val="0"/>
    </w:pPr>
    <w:rPr>
      <w:rFonts w:ascii="Calibri" w:hAnsi="Calibri" w:cs="Arial"/>
      <w:b/>
      <w:bCs/>
      <w:kern w:val="28"/>
      <w:sz w:val="36"/>
      <w:szCs w:val="28"/>
    </w:rPr>
  </w:style>
  <w:style w:type="paragraph" w:styleId="Heading2">
    <w:name w:val="heading 2"/>
    <w:basedOn w:val="Normal"/>
    <w:next w:val="Normal"/>
    <w:qFormat/>
    <w:rsid w:val="00D55252"/>
    <w:pPr>
      <w:keepNext/>
      <w:outlineLvl w:val="1"/>
    </w:pPr>
    <w:rPr>
      <w:rFonts w:ascii="Calibri" w:hAnsi="Calibri" w:cs="Arial"/>
      <w:b/>
      <w:bCs/>
      <w:sz w:val="28"/>
      <w:szCs w:val="24"/>
      <w:lang w:val="en-US"/>
    </w:rPr>
  </w:style>
  <w:style w:type="paragraph" w:styleId="Heading3">
    <w:name w:val="heading 3"/>
    <w:basedOn w:val="Normal"/>
    <w:next w:val="Normal"/>
    <w:qFormat/>
    <w:pPr>
      <w:keepNext/>
      <w:spacing w:before="240" w:after="60"/>
      <w:jc w:val="both"/>
      <w:outlineLvl w:val="2"/>
    </w:pPr>
    <w:rPr>
      <w:rFonts w:ascii="Arial" w:hAnsi="Arial" w:cs="Arial"/>
      <w:sz w:val="24"/>
      <w:szCs w:val="24"/>
      <w:lang w:val="en-GB"/>
    </w:rPr>
  </w:style>
  <w:style w:type="paragraph" w:styleId="Heading4">
    <w:name w:val="heading 4"/>
    <w:basedOn w:val="Normal"/>
    <w:next w:val="Normal"/>
    <w:qFormat/>
    <w:pPr>
      <w:keepNext/>
      <w:spacing w:before="240" w:after="60"/>
      <w:outlineLvl w:val="3"/>
    </w:pPr>
    <w:rPr>
      <w:rFonts w:ascii="Arial" w:hAnsi="Arial" w:cs="Arial"/>
      <w:b/>
      <w:bCs/>
      <w:sz w:val="24"/>
      <w:szCs w:val="24"/>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rPr>
  </w:style>
  <w:style w:type="paragraph" w:styleId="Heading8">
    <w:name w:val="heading 8"/>
    <w:basedOn w:val="Normal"/>
    <w:next w:val="Normal"/>
    <w:qFormat/>
    <w:pPr>
      <w:spacing w:before="240" w:after="60"/>
      <w:outlineLvl w:val="7"/>
    </w:pPr>
    <w:rPr>
      <w:rFonts w:ascii="Arial" w:hAnsi="Arial" w:cs="Arial"/>
      <w:i/>
      <w:iCs/>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071C37"/>
    <w:pPr>
      <w:spacing w:before="120" w:after="120" w:line="276" w:lineRule="auto"/>
    </w:pPr>
    <w:rPr>
      <w:rFonts w:asciiTheme="minorHAnsi" w:hAnsiTheme="minorHAnsi" w:cs="Arial"/>
      <w:sz w:val="22"/>
      <w:szCs w:val="22"/>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ppendix1">
    <w:name w:val="Appendix 1"/>
    <w:basedOn w:val="Heading1"/>
    <w:next w:val="Normal"/>
    <w:pPr>
      <w:numPr>
        <w:numId w:val="1"/>
      </w:numPr>
      <w:jc w:val="both"/>
    </w:pPr>
    <w:rPr>
      <w:lang w:val="en-GB"/>
    </w:rPr>
  </w:style>
  <w:style w:type="paragraph" w:customStyle="1" w:styleId="Appendix2">
    <w:name w:val="Appendix 2"/>
    <w:basedOn w:val="Heading2"/>
    <w:next w:val="Normal"/>
    <w:pPr>
      <w:numPr>
        <w:ilvl w:val="1"/>
        <w:numId w:val="1"/>
      </w:numPr>
      <w:spacing w:before="240" w:after="60"/>
      <w:jc w:val="both"/>
    </w:pPr>
    <w:rPr>
      <w:i/>
      <w:iCs/>
      <w:sz w:val="24"/>
      <w:lang w:val="en-GB"/>
    </w:rPr>
  </w:style>
  <w:style w:type="paragraph" w:customStyle="1" w:styleId="Appendix3">
    <w:name w:val="Appendix 3"/>
    <w:basedOn w:val="Heading3"/>
    <w:next w:val="Comments"/>
    <w:pPr>
      <w:numPr>
        <w:ilvl w:val="2"/>
        <w:numId w:val="1"/>
      </w:numPr>
    </w:pPr>
  </w:style>
  <w:style w:type="paragraph" w:customStyle="1" w:styleId="Comments">
    <w:name w:val="Comments"/>
    <w:basedOn w:val="NormalIndent"/>
    <w:pPr>
      <w:tabs>
        <w:tab w:val="left" w:pos="567"/>
        <w:tab w:val="left" w:pos="1134"/>
        <w:tab w:val="left" w:pos="1701"/>
        <w:tab w:val="left" w:pos="2268"/>
        <w:tab w:val="left" w:pos="2835"/>
      </w:tabs>
      <w:ind w:left="567"/>
    </w:pPr>
    <w:rPr>
      <w:rFonts w:ascii="Arial" w:hAnsi="Arial" w:cs="Arial"/>
      <w:sz w:val="18"/>
      <w:szCs w:val="18"/>
    </w:rPr>
  </w:style>
  <w:style w:type="paragraph" w:styleId="NormalIndent">
    <w:name w:val="Normal Indent"/>
    <w:basedOn w:val="Normal"/>
    <w:pPr>
      <w:ind w:left="720"/>
      <w:jc w:val="both"/>
    </w:pPr>
    <w:rPr>
      <w:sz w:val="22"/>
      <w:szCs w:val="22"/>
      <w:lang w:val="en-GB"/>
    </w:rPr>
  </w:style>
  <w:style w:type="character" w:customStyle="1" w:styleId="CommentHeader">
    <w:name w:val="Comment Header"/>
    <w:basedOn w:val="DefaultParagraphFont"/>
    <w:rPr>
      <w:i/>
      <w:iCs/>
      <w:smallCaps/>
      <w:u w:val="single"/>
    </w:rPr>
  </w:style>
  <w:style w:type="character" w:styleId="PageNumber">
    <w:name w:val="page number"/>
    <w:basedOn w:val="DefaultParagraphFont"/>
  </w:style>
  <w:style w:type="paragraph" w:customStyle="1" w:styleId="textbody">
    <w:name w:val="text body"/>
    <w:basedOn w:val="Normal"/>
    <w:rPr>
      <w:sz w:val="24"/>
      <w:szCs w:val="24"/>
      <w:lang w:val="en-US"/>
    </w:rPr>
  </w:style>
  <w:style w:type="paragraph" w:customStyle="1" w:styleId="sectionheading">
    <w:name w:val="section heading"/>
    <w:basedOn w:val="Normal"/>
    <w:rPr>
      <w:b/>
      <w:bCs/>
      <w:sz w:val="24"/>
      <w:szCs w:val="24"/>
      <w:lang w:val="en-US"/>
    </w:rPr>
  </w:style>
  <w:style w:type="paragraph" w:styleId="BodyText2">
    <w:name w:val="Body Text 2"/>
    <w:basedOn w:val="Normal"/>
    <w:pPr>
      <w:ind w:left="720"/>
    </w:pPr>
    <w:rPr>
      <w:color w:val="000000"/>
      <w:sz w:val="24"/>
      <w:szCs w:val="24"/>
      <w:lang w:val="en-GB"/>
    </w:rPr>
  </w:style>
  <w:style w:type="paragraph" w:styleId="TOC1">
    <w:name w:val="toc 1"/>
    <w:basedOn w:val="Normal"/>
    <w:next w:val="Normal"/>
    <w:autoRedefine/>
    <w:uiPriority w:val="39"/>
    <w:qFormat/>
    <w:rsid w:val="00814E53"/>
    <w:pPr>
      <w:tabs>
        <w:tab w:val="left" w:pos="600"/>
        <w:tab w:val="right" w:leader="dot" w:pos="9017"/>
      </w:tabs>
      <w:spacing w:before="120" w:after="120" w:line="276" w:lineRule="auto"/>
    </w:pPr>
    <w:rPr>
      <w:rFonts w:asciiTheme="minorHAnsi" w:hAnsiTheme="minorHAnsi" w:cstheme="minorHAnsi"/>
      <w:noProof/>
      <w:sz w:val="22"/>
      <w:szCs w:val="22"/>
      <w:lang w:val="en-US"/>
    </w:rPr>
  </w:style>
  <w:style w:type="paragraph" w:styleId="TOC2">
    <w:name w:val="toc 2"/>
    <w:basedOn w:val="Normal"/>
    <w:next w:val="Normal"/>
    <w:autoRedefine/>
    <w:uiPriority w:val="39"/>
    <w:qFormat/>
    <w:rsid w:val="00814E53"/>
    <w:pPr>
      <w:tabs>
        <w:tab w:val="left" w:pos="600"/>
        <w:tab w:val="right" w:leader="dot" w:pos="9017"/>
      </w:tabs>
      <w:spacing w:before="120"/>
    </w:pPr>
    <w:rPr>
      <w:rFonts w:asciiTheme="minorHAnsi" w:hAnsiTheme="minorHAnsi"/>
      <w:b/>
      <w:bCs/>
      <w:szCs w:val="24"/>
    </w:rPr>
  </w:style>
  <w:style w:type="paragraph" w:styleId="TOC3">
    <w:name w:val="toc 3"/>
    <w:basedOn w:val="Normal"/>
    <w:next w:val="Normal"/>
    <w:autoRedefine/>
    <w:uiPriority w:val="39"/>
    <w:semiHidden/>
    <w:qFormat/>
    <w:pPr>
      <w:ind w:left="200"/>
    </w:pPr>
    <w:rPr>
      <w:rFonts w:asciiTheme="minorHAnsi" w:hAnsiTheme="minorHAnsi"/>
      <w:szCs w:val="24"/>
    </w:rPr>
  </w:style>
  <w:style w:type="paragraph" w:styleId="TOC4">
    <w:name w:val="toc 4"/>
    <w:basedOn w:val="Normal"/>
    <w:next w:val="Normal"/>
    <w:autoRedefine/>
    <w:semiHidden/>
    <w:pPr>
      <w:ind w:left="400"/>
    </w:pPr>
    <w:rPr>
      <w:rFonts w:asciiTheme="minorHAnsi" w:hAnsiTheme="minorHAnsi"/>
      <w:szCs w:val="24"/>
    </w:rPr>
  </w:style>
  <w:style w:type="paragraph" w:styleId="TOC5">
    <w:name w:val="toc 5"/>
    <w:basedOn w:val="Normal"/>
    <w:next w:val="Normal"/>
    <w:autoRedefine/>
    <w:semiHidden/>
    <w:pPr>
      <w:ind w:left="600"/>
    </w:pPr>
    <w:rPr>
      <w:rFonts w:asciiTheme="minorHAnsi" w:hAnsiTheme="minorHAnsi"/>
      <w:szCs w:val="24"/>
    </w:rPr>
  </w:style>
  <w:style w:type="paragraph" w:styleId="TOC6">
    <w:name w:val="toc 6"/>
    <w:basedOn w:val="Normal"/>
    <w:next w:val="Normal"/>
    <w:autoRedefine/>
    <w:semiHidden/>
    <w:pPr>
      <w:ind w:left="800"/>
    </w:pPr>
    <w:rPr>
      <w:rFonts w:asciiTheme="minorHAnsi" w:hAnsiTheme="minorHAnsi"/>
      <w:szCs w:val="24"/>
    </w:rPr>
  </w:style>
  <w:style w:type="paragraph" w:styleId="TOC7">
    <w:name w:val="toc 7"/>
    <w:basedOn w:val="Normal"/>
    <w:next w:val="Normal"/>
    <w:autoRedefine/>
    <w:semiHidden/>
    <w:pPr>
      <w:ind w:left="1000"/>
    </w:pPr>
    <w:rPr>
      <w:rFonts w:asciiTheme="minorHAnsi" w:hAnsiTheme="minorHAnsi"/>
      <w:szCs w:val="24"/>
    </w:rPr>
  </w:style>
  <w:style w:type="paragraph" w:styleId="TOC8">
    <w:name w:val="toc 8"/>
    <w:basedOn w:val="Normal"/>
    <w:next w:val="Normal"/>
    <w:autoRedefine/>
    <w:semiHidden/>
    <w:pPr>
      <w:ind w:left="1200"/>
    </w:pPr>
    <w:rPr>
      <w:rFonts w:asciiTheme="minorHAnsi" w:hAnsiTheme="minorHAnsi"/>
      <w:szCs w:val="24"/>
    </w:rPr>
  </w:style>
  <w:style w:type="paragraph" w:styleId="TOC9">
    <w:name w:val="toc 9"/>
    <w:basedOn w:val="Normal"/>
    <w:next w:val="Normal"/>
    <w:autoRedefine/>
    <w:semiHidden/>
    <w:pPr>
      <w:ind w:left="1400"/>
    </w:pPr>
    <w:rPr>
      <w:rFonts w:asciiTheme="minorHAnsi" w:hAnsiTheme="minorHAnsi"/>
      <w:szCs w:val="24"/>
    </w:rPr>
  </w:style>
  <w:style w:type="paragraph" w:styleId="Title">
    <w:name w:val="Title"/>
    <w:basedOn w:val="Normal"/>
    <w:qFormat/>
    <w:pPr>
      <w:jc w:val="center"/>
    </w:pPr>
    <w:rPr>
      <w:rFonts w:ascii="Arial" w:hAnsi="Arial" w:cs="Arial"/>
      <w:b/>
      <w:bCs/>
      <w:sz w:val="32"/>
      <w:szCs w:val="3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FF165B"/>
    <w:rPr>
      <w:rFonts w:ascii="Tahoma" w:hAnsi="Tahoma" w:cs="Tahoma"/>
      <w:sz w:val="16"/>
      <w:szCs w:val="16"/>
    </w:rPr>
  </w:style>
  <w:style w:type="character" w:customStyle="1" w:styleId="BalloonTextChar">
    <w:name w:val="Balloon Text Char"/>
    <w:basedOn w:val="DefaultParagraphFont"/>
    <w:link w:val="BalloonText"/>
    <w:uiPriority w:val="99"/>
    <w:semiHidden/>
    <w:rsid w:val="00FF165B"/>
    <w:rPr>
      <w:rFonts w:ascii="Tahoma" w:hAnsi="Tahoma" w:cs="Tahoma"/>
      <w:sz w:val="16"/>
      <w:szCs w:val="16"/>
      <w:lang w:val="nl-NL"/>
    </w:rPr>
  </w:style>
  <w:style w:type="paragraph" w:styleId="ListParagraph">
    <w:name w:val="List Paragraph"/>
    <w:basedOn w:val="Normal"/>
    <w:uiPriority w:val="34"/>
    <w:qFormat/>
    <w:rsid w:val="002A117E"/>
    <w:pPr>
      <w:ind w:left="720"/>
      <w:contextualSpacing/>
    </w:pPr>
  </w:style>
  <w:style w:type="character" w:styleId="FollowedHyperlink">
    <w:name w:val="FollowedHyperlink"/>
    <w:basedOn w:val="DefaultParagraphFont"/>
    <w:uiPriority w:val="99"/>
    <w:semiHidden/>
    <w:unhideWhenUsed/>
    <w:rsid w:val="00E912A5"/>
    <w:rPr>
      <w:color w:val="800080" w:themeColor="followedHyperlink"/>
      <w:u w:val="single"/>
    </w:rPr>
  </w:style>
  <w:style w:type="character" w:styleId="CommentReference">
    <w:name w:val="annotation reference"/>
    <w:basedOn w:val="DefaultParagraphFont"/>
    <w:uiPriority w:val="99"/>
    <w:semiHidden/>
    <w:unhideWhenUsed/>
    <w:rsid w:val="006F5B86"/>
    <w:rPr>
      <w:sz w:val="16"/>
      <w:szCs w:val="16"/>
    </w:rPr>
  </w:style>
  <w:style w:type="paragraph" w:styleId="CommentText">
    <w:name w:val="annotation text"/>
    <w:basedOn w:val="Normal"/>
    <w:link w:val="CommentTextChar"/>
    <w:uiPriority w:val="99"/>
    <w:semiHidden/>
    <w:unhideWhenUsed/>
    <w:rsid w:val="006F5B86"/>
  </w:style>
  <w:style w:type="character" w:customStyle="1" w:styleId="CommentTextChar">
    <w:name w:val="Comment Text Char"/>
    <w:basedOn w:val="DefaultParagraphFont"/>
    <w:link w:val="CommentText"/>
    <w:uiPriority w:val="99"/>
    <w:semiHidden/>
    <w:rsid w:val="006F5B86"/>
    <w:rPr>
      <w:lang w:val="nl-NL"/>
    </w:rPr>
  </w:style>
  <w:style w:type="paragraph" w:styleId="CommentSubject">
    <w:name w:val="annotation subject"/>
    <w:basedOn w:val="CommentText"/>
    <w:next w:val="CommentText"/>
    <w:link w:val="CommentSubjectChar"/>
    <w:uiPriority w:val="99"/>
    <w:semiHidden/>
    <w:unhideWhenUsed/>
    <w:rsid w:val="006F5B86"/>
    <w:rPr>
      <w:b/>
      <w:bCs/>
    </w:rPr>
  </w:style>
  <w:style w:type="character" w:customStyle="1" w:styleId="CommentSubjectChar">
    <w:name w:val="Comment Subject Char"/>
    <w:basedOn w:val="CommentTextChar"/>
    <w:link w:val="CommentSubject"/>
    <w:uiPriority w:val="99"/>
    <w:semiHidden/>
    <w:rsid w:val="006F5B86"/>
    <w:rPr>
      <w:b/>
      <w:bCs/>
      <w:lang w:val="nl-NL"/>
    </w:rPr>
  </w:style>
  <w:style w:type="paragraph" w:styleId="Revision">
    <w:name w:val="Revision"/>
    <w:hidden/>
    <w:uiPriority w:val="99"/>
    <w:semiHidden/>
    <w:rsid w:val="008D4793"/>
    <w:rPr>
      <w:lang w:val="nl-NL"/>
    </w:rPr>
  </w:style>
  <w:style w:type="paragraph" w:customStyle="1" w:styleId="Bodytextarrow">
    <w:name w:val="Body text (arrow)"/>
    <w:basedOn w:val="Normal"/>
    <w:qFormat/>
    <w:rsid w:val="00071C37"/>
    <w:pPr>
      <w:numPr>
        <w:numId w:val="3"/>
      </w:numPr>
      <w:spacing w:before="120" w:after="120" w:line="276" w:lineRule="auto"/>
      <w:ind w:left="964" w:hanging="680"/>
    </w:pPr>
    <w:rPr>
      <w:rFonts w:asciiTheme="minorHAnsi" w:hAnsiTheme="minorHAnsi"/>
      <w:sz w:val="22"/>
      <w:lang w:val="en-GB"/>
    </w:rPr>
  </w:style>
  <w:style w:type="paragraph" w:customStyle="1" w:styleId="StyleBodytextwhonetmanualarrowComplexBodyCalibri">
    <w:name w:val="Style Body text (whonet manual) arrow + (Complex) +Body (Calibri) ..."/>
    <w:basedOn w:val="Bodytextarrow"/>
    <w:rsid w:val="00AC52B8"/>
    <w:pPr>
      <w:numPr>
        <w:numId w:val="0"/>
      </w:numPr>
    </w:pPr>
    <w:rPr>
      <w:rFonts w:cstheme="minorHAnsi"/>
      <w:szCs w:val="22"/>
    </w:rPr>
  </w:style>
  <w:style w:type="paragraph" w:customStyle="1" w:styleId="Bodytextbullet">
    <w:name w:val="Body text bullet"/>
    <w:basedOn w:val="BodyText"/>
    <w:qFormat/>
    <w:rsid w:val="00071C37"/>
    <w:pPr>
      <w:numPr>
        <w:numId w:val="5"/>
      </w:numPr>
      <w:ind w:left="357" w:hanging="357"/>
    </w:pPr>
  </w:style>
  <w:style w:type="character" w:customStyle="1" w:styleId="FooterChar">
    <w:name w:val="Footer Char"/>
    <w:basedOn w:val="DefaultParagraphFont"/>
    <w:link w:val="Footer"/>
    <w:uiPriority w:val="99"/>
    <w:rsid w:val="00C62950"/>
    <w:rPr>
      <w:lang w:val="nl-NL"/>
    </w:rPr>
  </w:style>
  <w:style w:type="paragraph" w:styleId="TOCHeading">
    <w:name w:val="TOC Heading"/>
    <w:basedOn w:val="Heading1"/>
    <w:next w:val="Normal"/>
    <w:uiPriority w:val="39"/>
    <w:semiHidden/>
    <w:unhideWhenUsed/>
    <w:qFormat/>
    <w:rsid w:val="00795FF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lang w:val="en-US" w:eastAsia="ja-JP"/>
    </w:rPr>
  </w:style>
  <w:style w:type="paragraph" w:customStyle="1" w:styleId="EGASP">
    <w:name w:val="EGASP"/>
    <w:basedOn w:val="TOC1"/>
    <w:qFormat/>
    <w:rsid w:val="00104D33"/>
    <w:pPr>
      <w:tabs>
        <w:tab w:val="clear" w:pos="600"/>
        <w:tab w:val="left" w:pos="1701"/>
      </w:tabs>
    </w:pPr>
    <w:rPr>
      <w:sz w:val="24"/>
      <w:szCs w:val="24"/>
    </w:rPr>
  </w:style>
  <w:style w:type="character" w:styleId="UnresolvedMention">
    <w:name w:val="Unresolved Mention"/>
    <w:basedOn w:val="DefaultParagraphFont"/>
    <w:uiPriority w:val="99"/>
    <w:semiHidden/>
    <w:unhideWhenUsed/>
    <w:rsid w:val="00707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whonet.org" TargetMode="External"/><Relationship Id="rId24" Type="http://schemas.openxmlformats.org/officeDocument/2006/relationships/hyperlink" Target="https://whonet.org/training.html" TargetMode="External"/><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www.whonet.org" TargetMode="Externa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www.whonet.org"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honet.org/"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B5A0-F0A2-45F4-AE1F-457FE0CD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5004</Words>
  <Characters>28523</Characters>
  <Application>Microsoft Office Word</Application>
  <DocSecurity>0</DocSecurity>
  <Lines>237</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WHONET opstarten</vt:lpstr>
      <vt:lpstr>WHONET opstarten</vt:lpstr>
    </vt:vector>
  </TitlesOfParts>
  <Company>RIVM</Company>
  <LinksUpToDate>false</LinksUpToDate>
  <CharactersWithSpaces>33461</CharactersWithSpaces>
  <SharedDoc>false</SharedDoc>
  <HLinks>
    <vt:vector size="6" baseType="variant">
      <vt:variant>
        <vt:i4>5242923</vt:i4>
      </vt:variant>
      <vt:variant>
        <vt:i4>60</vt:i4>
      </vt:variant>
      <vt:variant>
        <vt:i4>0</vt:i4>
      </vt:variant>
      <vt:variant>
        <vt:i4>5</vt:i4>
      </vt:variant>
      <vt:variant>
        <vt:lpwstr>mailto:jos.monen@rivm.nl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manual for EGASP</dc:title>
  <dc:creator>Goettsch</dc:creator>
  <cp:lastModifiedBy>Adam Clark</cp:lastModifiedBy>
  <cp:revision>45</cp:revision>
  <cp:lastPrinted>2024-07-02T15:47:00Z</cp:lastPrinted>
  <dcterms:created xsi:type="dcterms:W3CDTF">2023-03-15T16:00:00Z</dcterms:created>
  <dcterms:modified xsi:type="dcterms:W3CDTF">2024-07-02T15:48:00Z</dcterms:modified>
</cp:coreProperties>
</file>